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EA18F" w14:textId="77777777" w:rsidR="00B0427A" w:rsidRDefault="00B0427A"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5794799" w14:textId="05361270" w:rsidR="00B0427A" w:rsidRDefault="00B0427A" w:rsidP="00B0427A">
      <w:pPr>
        <w:spacing w:after="0" w:line="240" w:lineRule="auto"/>
        <w:jc w:val="center"/>
        <w:rPr>
          <w:rFonts w:ascii="Times New Roman" w:eastAsia="Times New Roman" w:hAnsi="Times New Roman" w:cs="Times New Roman"/>
          <w:color w:val="263238"/>
          <w:sz w:val="28"/>
          <w:szCs w:val="28"/>
          <w:u w:val="single"/>
          <w:shd w:val="clear" w:color="auto" w:fill="FFFFFF"/>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0B8FA61D" wp14:editId="20E45EBC">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066E0066" w14:textId="77777777" w:rsidR="00B0427A" w:rsidRDefault="00B0427A" w:rsidP="00B0427A">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0352935C" w14:textId="0C557514" w:rsidR="00B0427A" w:rsidRPr="00F5494B" w:rsidRDefault="00B0427A" w:rsidP="00B0427A">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11EBED31" w14:textId="77777777" w:rsidR="00B0427A" w:rsidRDefault="00B0427A" w:rsidP="00B0427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2F73032" w14:textId="6F51AEBB" w:rsidR="00B0427A" w:rsidRPr="00FD534D" w:rsidRDefault="00B0427A" w:rsidP="00B0427A">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 –</w:t>
      </w:r>
      <w:r w:rsidR="001336E9">
        <w:rPr>
          <w:rFonts w:ascii="Times New Roman" w:eastAsia="Times New Roman" w:hAnsi="Times New Roman" w:cs="Times New Roman"/>
          <w:b/>
          <w:color w:val="222222"/>
          <w:sz w:val="28"/>
          <w:szCs w:val="28"/>
          <w:shd w:val="clear" w:color="auto" w:fill="FFFFFF"/>
          <w:lang w:val="en-GB" w:eastAsia="en-GB"/>
        </w:rPr>
        <w:t xml:space="preserve"> September</w:t>
      </w:r>
      <w:r>
        <w:rPr>
          <w:rFonts w:ascii="Times New Roman" w:eastAsia="Times New Roman" w:hAnsi="Times New Roman" w:cs="Times New Roman"/>
          <w:b/>
          <w:color w:val="222222"/>
          <w:sz w:val="28"/>
          <w:szCs w:val="28"/>
          <w:shd w:val="clear" w:color="auto" w:fill="FFFFFF"/>
          <w:lang w:val="en-GB" w:eastAsia="en-GB"/>
        </w:rPr>
        <w:t xml:space="preserve"> 2020</w:t>
      </w:r>
    </w:p>
    <w:p w14:paraId="0000ABE9" w14:textId="77777777" w:rsidR="00B0427A" w:rsidRPr="00B51681" w:rsidRDefault="00B0427A" w:rsidP="00B0427A">
      <w:pPr>
        <w:spacing w:after="0" w:line="240" w:lineRule="auto"/>
        <w:jc w:val="both"/>
        <w:rPr>
          <w:rFonts w:ascii="Times New Roman" w:hAnsi="Times New Roman" w:cs="Times New Roman"/>
        </w:rPr>
      </w:pPr>
    </w:p>
    <w:p w14:paraId="34CFB089" w14:textId="32DCAFD4" w:rsidR="00B0427A" w:rsidRPr="00211F50" w:rsidRDefault="002D09F4" w:rsidP="00B0427A">
      <w:pPr>
        <w:spacing w:after="160" w:line="256" w:lineRule="auto"/>
        <w:jc w:val="both"/>
        <w:rPr>
          <w:rFonts w:ascii="Times New Roman" w:eastAsia="Times New Roman" w:hAnsi="Times New Roman" w:cs="Times New Roman"/>
          <w:b/>
        </w:rPr>
      </w:pPr>
      <w:r>
        <w:rPr>
          <w:rFonts w:ascii="Times New Roman" w:hAnsi="Times New Roman" w:cs="Times New Roman"/>
          <w:b/>
        </w:rPr>
        <w:t>November</w:t>
      </w:r>
      <w:r w:rsidR="00B0427A" w:rsidRPr="00CE6B69">
        <w:rPr>
          <w:rFonts w:ascii="Times New Roman" w:eastAsia="Times New Roman" w:hAnsi="Times New Roman" w:cs="Times New Roman"/>
          <w:b/>
        </w:rPr>
        <w:t xml:space="preserve"> </w:t>
      </w:r>
      <w:r>
        <w:rPr>
          <w:rFonts w:ascii="Times New Roman" w:eastAsia="Times New Roman" w:hAnsi="Times New Roman" w:cs="Times New Roman"/>
          <w:b/>
        </w:rPr>
        <w:t>2</w:t>
      </w:r>
      <w:r w:rsidR="00B0427A" w:rsidRPr="00CE6B69">
        <w:rPr>
          <w:rFonts w:ascii="Times New Roman" w:eastAsia="Times New Roman" w:hAnsi="Times New Roman" w:cs="Times New Roman"/>
          <w:b/>
        </w:rPr>
        <w:t>, 2020 | Ahmedabad</w:t>
      </w:r>
    </w:p>
    <w:p w14:paraId="1EB435AA" w14:textId="77777777" w:rsidR="00B0427A" w:rsidRDefault="00B0427A" w:rsidP="00B0427A">
      <w:pPr>
        <w:spacing w:after="0" w:line="240" w:lineRule="auto"/>
        <w:jc w:val="both"/>
        <w:rPr>
          <w:rFonts w:ascii="Times New Roman" w:hAnsi="Times New Roman" w:cs="Times New Roman"/>
          <w:sz w:val="20"/>
          <w:szCs w:val="20"/>
          <w:lang w:eastAsia="en-IN"/>
        </w:rPr>
      </w:pPr>
    </w:p>
    <w:p w14:paraId="027B7D60" w14:textId="77777777" w:rsidR="00B0427A" w:rsidRPr="008C3AB6" w:rsidRDefault="00B0427A" w:rsidP="00B0427A">
      <w:pPr>
        <w:spacing w:after="0" w:line="240" w:lineRule="auto"/>
        <w:jc w:val="both"/>
        <w:rPr>
          <w:rFonts w:ascii="Times New Roman" w:hAnsi="Times New Roman" w:cs="Times New Roman"/>
          <w:bCs/>
          <w:lang w:val="en-US"/>
        </w:rPr>
      </w:pPr>
      <w:r w:rsidRPr="008C3AB6">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56856B58" w14:textId="77777777" w:rsidR="00B0427A" w:rsidRPr="008C3AB6" w:rsidRDefault="00B0427A" w:rsidP="00B0427A">
      <w:pPr>
        <w:spacing w:after="0" w:line="240" w:lineRule="auto"/>
        <w:jc w:val="both"/>
        <w:rPr>
          <w:rFonts w:ascii="Times New Roman" w:hAnsi="Times New Roman" w:cs="Times New Roman"/>
          <w:bCs/>
          <w:lang w:val="en-US"/>
        </w:rPr>
      </w:pPr>
    </w:p>
    <w:p w14:paraId="5773F3E6" w14:textId="7227A489" w:rsidR="00B0427A" w:rsidRPr="008C3AB6" w:rsidRDefault="00B0427A" w:rsidP="00B0427A">
      <w:pPr>
        <w:spacing w:after="0" w:line="240" w:lineRule="auto"/>
        <w:rPr>
          <w:rFonts w:ascii="Times New Roman" w:hAnsi="Times New Roman" w:cs="Times New Roman"/>
          <w:bCs/>
          <w:lang w:val="en-US"/>
        </w:rPr>
      </w:pPr>
      <w:r w:rsidRPr="008C3AB6">
        <w:rPr>
          <w:rFonts w:ascii="Times New Roman" w:hAnsi="Times New Roman" w:cs="Times New Roman"/>
          <w:bCs/>
          <w:lang w:val="en-US"/>
        </w:rPr>
        <w:t xml:space="preserve">Companies are selected primarily from the manufacturing sector. The “BIES - </w:t>
      </w:r>
      <w:r w:rsidR="00463F75">
        <w:rPr>
          <w:rFonts w:ascii="Times New Roman" w:hAnsi="Times New Roman" w:cs="Times New Roman"/>
          <w:bCs/>
          <w:lang w:val="en-US"/>
        </w:rPr>
        <w:t>September</w:t>
      </w:r>
      <w:r w:rsidRPr="008C3AB6">
        <w:rPr>
          <w:rFonts w:ascii="Times New Roman" w:hAnsi="Times New Roman" w:cs="Times New Roman"/>
          <w:bCs/>
          <w:lang w:val="en-US"/>
        </w:rPr>
        <w:t xml:space="preserve"> 2020” is the 4</w:t>
      </w:r>
      <w:r>
        <w:rPr>
          <w:rFonts w:ascii="Times New Roman" w:hAnsi="Times New Roman" w:cs="Times New Roman"/>
          <w:bCs/>
          <w:lang w:val="en-US"/>
        </w:rPr>
        <w:t>1st</w:t>
      </w:r>
      <w:r w:rsidRPr="008C3AB6">
        <w:rPr>
          <w:rFonts w:ascii="Times New Roman" w:hAnsi="Times New Roman" w:cs="Times New Roman"/>
          <w:bCs/>
          <w:lang w:val="en-US"/>
        </w:rPr>
        <w:t xml:space="preserve"> round of the Survey. These results are based on the responses of around 1100 companies.</w:t>
      </w:r>
    </w:p>
    <w:p w14:paraId="1D3B2346" w14:textId="005BE4EE" w:rsidR="00FC49EB" w:rsidRPr="00B51681" w:rsidRDefault="00FC49EB" w:rsidP="00C32EC0">
      <w:pPr>
        <w:spacing w:after="0" w:line="240" w:lineRule="auto"/>
        <w:jc w:val="both"/>
        <w:rPr>
          <w:rFonts w:ascii="Times New Roman" w:hAnsi="Times New Roman" w:cs="Times New Roman"/>
        </w:rPr>
      </w:pPr>
    </w:p>
    <w:p w14:paraId="354A3479" w14:textId="0FBBA384"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36FF1C94" w:rsidR="00435AC3" w:rsidRPr="00EB118F" w:rsidRDefault="00435AC3" w:rsidP="00EB1D74">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3F31CF">
        <w:rPr>
          <w:rFonts w:ascii="Times New Roman" w:hAnsi="Times New Roman" w:cs="Times New Roman"/>
          <w:bCs/>
        </w:rPr>
        <w:t>September</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w:t>
      </w:r>
      <w:r w:rsidR="00BA11D9">
        <w:rPr>
          <w:rFonts w:ascii="Times New Roman" w:hAnsi="Times New Roman" w:cs="Times New Roman"/>
          <w:bCs/>
        </w:rPr>
        <w:t>ve</w:t>
      </w:r>
      <w:r>
        <w:rPr>
          <w:rFonts w:ascii="Times New Roman" w:hAnsi="Times New Roman" w:cs="Times New Roman"/>
          <w:bCs/>
        </w:rPr>
        <w:t xml:space="preserve"> </w:t>
      </w:r>
      <w:r w:rsidR="00745969">
        <w:rPr>
          <w:rFonts w:ascii="Times New Roman" w:hAnsi="Times New Roman" w:cs="Times New Roman"/>
          <w:bCs/>
        </w:rPr>
        <w:t xml:space="preserve">witnessed a </w:t>
      </w:r>
      <w:r w:rsidR="003F31CF">
        <w:rPr>
          <w:rFonts w:ascii="Times New Roman" w:hAnsi="Times New Roman" w:cs="Times New Roman"/>
          <w:bCs/>
        </w:rPr>
        <w:t>fall</w:t>
      </w:r>
      <w:r w:rsidR="00DB3B95">
        <w:rPr>
          <w:rFonts w:ascii="Times New Roman" w:hAnsi="Times New Roman" w:cs="Times New Roman"/>
          <w:bCs/>
        </w:rPr>
        <w:t xml:space="preserve"> </w:t>
      </w:r>
      <w:r w:rsidR="00C45757">
        <w:rPr>
          <w:rFonts w:ascii="Times New Roman" w:hAnsi="Times New Roman" w:cs="Times New Roman"/>
          <w:bCs/>
        </w:rPr>
        <w:t>of</w:t>
      </w:r>
      <w:r w:rsidR="00E914D9">
        <w:rPr>
          <w:rFonts w:ascii="Times New Roman" w:hAnsi="Times New Roman" w:cs="Times New Roman"/>
          <w:bCs/>
        </w:rPr>
        <w:t xml:space="preserve"> </w:t>
      </w:r>
      <w:r w:rsidR="003F31CF">
        <w:rPr>
          <w:rFonts w:ascii="Times New Roman" w:hAnsi="Times New Roman" w:cs="Times New Roman"/>
          <w:bCs/>
        </w:rPr>
        <w:t>28</w:t>
      </w:r>
      <w:r w:rsidR="00E914D9">
        <w:rPr>
          <w:rFonts w:ascii="Times New Roman" w:hAnsi="Times New Roman" w:cs="Times New Roman"/>
          <w:bCs/>
        </w:rPr>
        <w:t xml:space="preserve"> basis points to </w:t>
      </w:r>
      <w:r w:rsidR="004D79CC">
        <w:rPr>
          <w:rFonts w:ascii="Times New Roman" w:hAnsi="Times New Roman" w:cs="Times New Roman"/>
          <w:bCs/>
        </w:rPr>
        <w:t>3.</w:t>
      </w:r>
      <w:r w:rsidR="003F31CF">
        <w:rPr>
          <w:rFonts w:ascii="Times New Roman" w:hAnsi="Times New Roman" w:cs="Times New Roman"/>
          <w:bCs/>
        </w:rPr>
        <w:t>49</w:t>
      </w:r>
      <w:r w:rsidR="00DB3B95">
        <w:rPr>
          <w:rFonts w:ascii="Times New Roman" w:hAnsi="Times New Roman" w:cs="Times New Roman"/>
          <w:bCs/>
        </w:rPr>
        <w:t xml:space="preserve">% </w:t>
      </w:r>
      <w:r w:rsidR="00E914D9">
        <w:rPr>
          <w:rFonts w:ascii="Times New Roman" w:hAnsi="Times New Roman" w:cs="Times New Roman"/>
          <w:bCs/>
        </w:rPr>
        <w:t xml:space="preserve">from </w:t>
      </w:r>
      <w:r w:rsidR="003F31CF">
        <w:rPr>
          <w:rFonts w:ascii="Times New Roman" w:hAnsi="Times New Roman" w:cs="Times New Roman"/>
          <w:bCs/>
        </w:rPr>
        <w:t>3.77</w:t>
      </w:r>
      <w:r w:rsidR="00DB3B95">
        <w:rPr>
          <w:rFonts w:ascii="Times New Roman" w:hAnsi="Times New Roman" w:cs="Times New Roman"/>
          <w:bCs/>
        </w:rPr>
        <w:t xml:space="preserve">%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3F31CF">
        <w:rPr>
          <w:rFonts w:ascii="Times New Roman" w:hAnsi="Times New Roman" w:cs="Times New Roman"/>
          <w:bCs/>
        </w:rPr>
        <w:t>August</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6B75CE2F"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w:t>
      </w:r>
      <w:bookmarkStart w:id="0" w:name="_GoBack"/>
      <w:bookmarkEnd w:id="0"/>
      <w:r>
        <w:rPr>
          <w:rFonts w:ascii="Times New Roman" w:hAnsi="Times New Roman" w:cs="Times New Roman"/>
          <w:bCs/>
        </w:rPr>
        <w:t xml:space="preserve">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825146">
        <w:rPr>
          <w:rFonts w:ascii="Times New Roman" w:hAnsi="Times New Roman" w:cs="Times New Roman"/>
          <w:bCs/>
        </w:rPr>
        <w:t>marginally increased to 2.1</w:t>
      </w:r>
      <w:r w:rsidR="007932A0">
        <w:rPr>
          <w:rFonts w:ascii="Times New Roman" w:hAnsi="Times New Roman" w:cs="Times New Roman"/>
          <w:bCs/>
        </w:rPr>
        <w:t xml:space="preserve">% during </w:t>
      </w:r>
      <w:r w:rsidR="00751D63">
        <w:rPr>
          <w:rFonts w:ascii="Times New Roman" w:hAnsi="Times New Roman" w:cs="Times New Roman"/>
          <w:bCs/>
        </w:rPr>
        <w:t>August</w:t>
      </w:r>
      <w:r w:rsidR="00825146">
        <w:rPr>
          <w:rFonts w:ascii="Times New Roman" w:hAnsi="Times New Roman" w:cs="Times New Roman"/>
          <w:bCs/>
        </w:rPr>
        <w:t>-September</w:t>
      </w:r>
      <w:r w:rsidR="007932A0">
        <w:rPr>
          <w:rFonts w:ascii="Times New Roman" w:hAnsi="Times New Roman" w:cs="Times New Roman"/>
          <w:bCs/>
        </w:rPr>
        <w:t xml:space="preserve">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3F1A9D8B"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7B1ABA67" w14:textId="25D75DB3" w:rsidR="003F31CF" w:rsidRDefault="003F31CF" w:rsidP="00C32EC0">
      <w:pPr>
        <w:spacing w:after="0" w:line="240" w:lineRule="auto"/>
        <w:jc w:val="center"/>
        <w:rPr>
          <w:rFonts w:ascii="Times New Roman" w:hAnsi="Times New Roman" w:cs="Times New Roman"/>
          <w:b/>
        </w:rPr>
      </w:pPr>
    </w:p>
    <w:p w14:paraId="5232618F" w14:textId="521C1D73" w:rsidR="003F31CF" w:rsidRDefault="003F31CF" w:rsidP="00C32EC0">
      <w:pPr>
        <w:spacing w:after="0" w:line="240" w:lineRule="auto"/>
        <w:jc w:val="center"/>
        <w:rPr>
          <w:rFonts w:ascii="Times New Roman" w:hAnsi="Times New Roman" w:cs="Times New Roman"/>
          <w:b/>
        </w:rPr>
      </w:pPr>
      <w:r>
        <w:rPr>
          <w:noProof/>
          <w:lang w:eastAsia="en-IN"/>
        </w:rPr>
        <w:drawing>
          <wp:inline distT="0" distB="0" distL="0" distR="0" wp14:anchorId="1BA29E2B" wp14:editId="29B19CBA">
            <wp:extent cx="4838700" cy="2362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668491" w14:textId="7C9B1ACF" w:rsidR="003F31CF" w:rsidRDefault="003F31CF" w:rsidP="00C32EC0">
      <w:pPr>
        <w:spacing w:after="0" w:line="240" w:lineRule="auto"/>
        <w:jc w:val="center"/>
        <w:rPr>
          <w:rFonts w:ascii="Times New Roman" w:hAnsi="Times New Roman" w:cs="Times New Roman"/>
          <w:b/>
        </w:rPr>
      </w:pPr>
    </w:p>
    <w:p w14:paraId="6560838A" w14:textId="35B351B9" w:rsidR="003F31CF" w:rsidRDefault="003F31CF" w:rsidP="00C32EC0">
      <w:pPr>
        <w:spacing w:after="0" w:line="240" w:lineRule="auto"/>
        <w:jc w:val="center"/>
        <w:rPr>
          <w:rFonts w:ascii="Times New Roman" w:hAnsi="Times New Roman" w:cs="Times New Roman"/>
          <w:b/>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62D2D094"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44490E">
        <w:rPr>
          <w:rFonts w:ascii="Times New Roman" w:hAnsi="Times New Roman" w:cs="Times New Roman"/>
        </w:rPr>
        <w:t xml:space="preserve">early signs of easing of </w:t>
      </w:r>
      <w:r w:rsidR="00320D86" w:rsidRPr="00320D86">
        <w:rPr>
          <w:rFonts w:ascii="Times New Roman" w:hAnsi="Times New Roman" w:cs="Times New Roman"/>
        </w:rPr>
        <w:t>cost pressures</w:t>
      </w:r>
      <w:r w:rsidR="00DB27C4">
        <w:rPr>
          <w:rFonts w:ascii="Times New Roman" w:hAnsi="Times New Roman" w:cs="Times New Roman"/>
        </w:rPr>
        <w:t>.</w:t>
      </w:r>
      <w:r w:rsidR="00320D86" w:rsidRPr="00320D86">
        <w:rPr>
          <w:rFonts w:ascii="Times New Roman" w:hAnsi="Times New Roman" w:cs="Times New Roman"/>
        </w:rPr>
        <w:t xml:space="preserve"> </w:t>
      </w:r>
      <w:r w:rsidR="009A50C4" w:rsidRPr="00F901EF">
        <w:rPr>
          <w:rFonts w:ascii="Times New Roman" w:hAnsi="Times New Roman" w:cs="Times New Roman"/>
        </w:rPr>
        <w:t xml:space="preserve">In </w:t>
      </w:r>
      <w:r w:rsidR="009A50C4">
        <w:rPr>
          <w:rFonts w:ascii="Times New Roman" w:hAnsi="Times New Roman" w:cs="Times New Roman"/>
        </w:rPr>
        <w:t>this round of the survey</w:t>
      </w:r>
      <w:r w:rsidR="009A50C4" w:rsidRPr="00F901EF">
        <w:rPr>
          <w:rFonts w:ascii="Times New Roman" w:hAnsi="Times New Roman" w:cs="Times New Roman"/>
        </w:rPr>
        <w:t xml:space="preserve">, </w:t>
      </w:r>
      <w:r w:rsidR="009A50C4">
        <w:rPr>
          <w:rFonts w:ascii="Times New Roman" w:hAnsi="Times New Roman" w:cs="Times New Roman"/>
        </w:rPr>
        <w:t xml:space="preserve">28% of the firms still expect </w:t>
      </w:r>
      <w:r w:rsidR="009A50C4" w:rsidRPr="00F901EF">
        <w:rPr>
          <w:rFonts w:ascii="Times New Roman" w:hAnsi="Times New Roman" w:cs="Times New Roman"/>
        </w:rPr>
        <w:t>significant (over 6%) cost increase</w:t>
      </w:r>
      <w:r w:rsidR="009A50C4">
        <w:rPr>
          <w:rFonts w:ascii="Times New Roman" w:hAnsi="Times New Roman" w:cs="Times New Roman"/>
        </w:rPr>
        <w:t xml:space="preserve"> </w:t>
      </w:r>
      <w:r w:rsidR="009A50C4" w:rsidRPr="00F901EF">
        <w:rPr>
          <w:rFonts w:ascii="Times New Roman" w:hAnsi="Times New Roman" w:cs="Times New Roman"/>
        </w:rPr>
        <w:t>as compared to the same time last year</w:t>
      </w:r>
      <w:r w:rsidR="009A50C4">
        <w:rPr>
          <w:rFonts w:ascii="Times New Roman" w:hAnsi="Times New Roman" w:cs="Times New Roman"/>
        </w:rPr>
        <w:t>. This proportion</w:t>
      </w:r>
      <w:r w:rsidR="009A50C4" w:rsidRPr="00F901EF">
        <w:rPr>
          <w:rFonts w:ascii="Times New Roman" w:hAnsi="Times New Roman" w:cs="Times New Roman"/>
        </w:rPr>
        <w:t xml:space="preserve"> has been gradually declining</w:t>
      </w:r>
      <w:r w:rsidR="009A50C4">
        <w:rPr>
          <w:rFonts w:ascii="Times New Roman" w:hAnsi="Times New Roman" w:cs="Times New Roman"/>
        </w:rPr>
        <w:t xml:space="preserve"> after March 2020</w:t>
      </w:r>
      <w:r w:rsidR="009A50C4" w:rsidRPr="00F901EF">
        <w:rPr>
          <w:rFonts w:ascii="Times New Roman" w:hAnsi="Times New Roman" w:cs="Times New Roman"/>
        </w:rPr>
        <w:t>.</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20DB7263" w:rsidR="009872D1" w:rsidRPr="00F901EF" w:rsidRDefault="00A71A5C" w:rsidP="002D3AFA">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Around</w:t>
      </w:r>
      <w:r w:rsidR="00F901EF" w:rsidRPr="00F901EF">
        <w:rPr>
          <w:rFonts w:ascii="Times New Roman" w:hAnsi="Times New Roman" w:cs="Times New Roman"/>
        </w:rPr>
        <w:t xml:space="preserve"> 5</w:t>
      </w:r>
      <w:r w:rsidR="0044490E">
        <w:rPr>
          <w:rFonts w:ascii="Times New Roman" w:hAnsi="Times New Roman" w:cs="Times New Roman"/>
        </w:rPr>
        <w:t>4</w:t>
      </w:r>
      <w:r w:rsidR="00F901EF" w:rsidRPr="00F901EF">
        <w:rPr>
          <w:rFonts w:ascii="Times New Roman" w:hAnsi="Times New Roman" w:cs="Times New Roman"/>
        </w:rPr>
        <w:t xml:space="preserve">% of the firms believe that the current cost increase is </w:t>
      </w:r>
      <w:r w:rsidR="00233A94">
        <w:rPr>
          <w:rFonts w:ascii="Times New Roman" w:hAnsi="Times New Roman" w:cs="Times New Roman"/>
        </w:rPr>
        <w:t>‘</w:t>
      </w:r>
      <w:r w:rsidR="00F901EF" w:rsidRPr="00F901EF">
        <w:rPr>
          <w:rFonts w:ascii="Times New Roman" w:hAnsi="Times New Roman" w:cs="Times New Roman"/>
        </w:rPr>
        <w:t>3.1% and above</w:t>
      </w:r>
      <w:r w:rsidR="00233A94">
        <w:rPr>
          <w:rFonts w:ascii="Times New Roman" w:hAnsi="Times New Roman" w:cs="Times New Roman"/>
        </w:rPr>
        <w:t>’</w:t>
      </w:r>
      <w:r w:rsidR="00F901EF" w:rsidRPr="00F901EF">
        <w:rPr>
          <w:rFonts w:ascii="Times New Roman" w:hAnsi="Times New Roman" w:cs="Times New Roman"/>
        </w:rPr>
        <w:t xml:space="preserve"> as compared to the same time last year – </w:t>
      </w:r>
      <w:r w:rsidR="002D47D1">
        <w:rPr>
          <w:rFonts w:ascii="Times New Roman" w:hAnsi="Times New Roman" w:cs="Times New Roman"/>
        </w:rPr>
        <w:t xml:space="preserve">marginally </w:t>
      </w:r>
      <w:r w:rsidR="0044490E">
        <w:rPr>
          <w:rFonts w:ascii="Times New Roman" w:hAnsi="Times New Roman" w:cs="Times New Roman"/>
        </w:rPr>
        <w:t>up</w:t>
      </w:r>
      <w:r w:rsidR="00F901EF" w:rsidRPr="00F901EF">
        <w:rPr>
          <w:rFonts w:ascii="Times New Roman" w:hAnsi="Times New Roman" w:cs="Times New Roman"/>
        </w:rPr>
        <w:t xml:space="preserve"> from </w:t>
      </w:r>
      <w:r w:rsidR="00E80495" w:rsidRPr="00F901EF">
        <w:rPr>
          <w:rFonts w:ascii="Times New Roman" w:hAnsi="Times New Roman" w:cs="Times New Roman"/>
        </w:rPr>
        <w:t>5</w:t>
      </w:r>
      <w:r w:rsidR="0044490E">
        <w:rPr>
          <w:rFonts w:ascii="Times New Roman" w:hAnsi="Times New Roman" w:cs="Times New Roman"/>
        </w:rPr>
        <w:t>2</w:t>
      </w:r>
      <w:r w:rsidR="00E80495" w:rsidRPr="00F901EF">
        <w:rPr>
          <w:rFonts w:ascii="Times New Roman" w:hAnsi="Times New Roman" w:cs="Times New Roman"/>
        </w:rPr>
        <w:t xml:space="preserve">% </w:t>
      </w:r>
      <w:r w:rsidR="00F901EF">
        <w:rPr>
          <w:rFonts w:ascii="Times New Roman" w:hAnsi="Times New Roman" w:cs="Times New Roman"/>
        </w:rPr>
        <w:t xml:space="preserve">reported in </w:t>
      </w:r>
      <w:r w:rsidR="0044490E">
        <w:rPr>
          <w:rFonts w:ascii="Times New Roman" w:hAnsi="Times New Roman" w:cs="Times New Roman"/>
        </w:rPr>
        <w:t>August</w:t>
      </w:r>
      <w:r w:rsidR="00F901EF">
        <w:rPr>
          <w:rFonts w:ascii="Times New Roman" w:hAnsi="Times New Roman" w:cs="Times New Roman"/>
        </w:rPr>
        <w:t xml:space="preserve"> 2020</w:t>
      </w:r>
      <w:r w:rsidR="0044490E">
        <w:rPr>
          <w:rFonts w:ascii="Times New Roman" w:hAnsi="Times New Roman" w:cs="Times New Roman"/>
        </w:rPr>
        <w:t xml:space="preserve"> </w:t>
      </w:r>
      <w:r w:rsidR="0044490E" w:rsidRPr="00F901EF">
        <w:rPr>
          <w:rFonts w:ascii="Times New Roman" w:hAnsi="Times New Roman" w:cs="Times New Roman"/>
        </w:rPr>
        <w:t xml:space="preserve">(Chart </w:t>
      </w:r>
      <w:r w:rsidR="0044490E">
        <w:rPr>
          <w:rFonts w:ascii="Times New Roman" w:hAnsi="Times New Roman" w:cs="Times New Roman"/>
        </w:rPr>
        <w:t>2</w:t>
      </w:r>
      <w:r w:rsidR="0044490E" w:rsidRPr="00F901EF">
        <w:rPr>
          <w:rFonts w:ascii="Times New Roman" w:hAnsi="Times New Roman" w:cs="Times New Roman"/>
        </w:rPr>
        <w:t>)</w:t>
      </w:r>
      <w:r w:rsidR="00611B27">
        <w:rPr>
          <w:rFonts w:ascii="Times New Roman" w:hAnsi="Times New Roman" w:cs="Times New Roman"/>
        </w:rPr>
        <w:t>.</w:t>
      </w:r>
      <w:r w:rsidR="0044490E">
        <w:rPr>
          <w:rFonts w:ascii="Times New Roman" w:hAnsi="Times New Roman" w:cs="Times New Roman"/>
        </w:rPr>
        <w:t xml:space="preserve"> This is primarily driven by the</w:t>
      </w:r>
      <w:r w:rsidR="00611B27">
        <w:rPr>
          <w:rFonts w:ascii="Times New Roman" w:hAnsi="Times New Roman" w:cs="Times New Roman"/>
        </w:rPr>
        <w:t xml:space="preserve"> firms indicating moderate cost incre</w:t>
      </w:r>
      <w:r w:rsidR="0044490E">
        <w:rPr>
          <w:rFonts w:ascii="Times New Roman" w:hAnsi="Times New Roman" w:cs="Times New Roman"/>
        </w:rPr>
        <w:t xml:space="preserve">ase (between 3.1% and 6%) </w:t>
      </w:r>
      <w:r w:rsidR="00611B27">
        <w:rPr>
          <w:rFonts w:ascii="Times New Roman" w:hAnsi="Times New Roman" w:cs="Times New Roman"/>
        </w:rPr>
        <w:t>in this round</w:t>
      </w:r>
      <w:r w:rsidR="00435AC3" w:rsidRPr="00F901EF">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718D22CE"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E05367">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6726A8DE" w14:textId="285EACA0" w:rsidR="001077C5" w:rsidRDefault="006D6271" w:rsidP="00C32EC0">
      <w:pPr>
        <w:spacing w:after="0" w:line="240" w:lineRule="auto"/>
        <w:jc w:val="center"/>
        <w:rPr>
          <w:noProof/>
          <w:lang w:eastAsia="en-IN"/>
        </w:rPr>
      </w:pPr>
      <w:r>
        <w:rPr>
          <w:noProof/>
          <w:lang w:eastAsia="en-IN"/>
        </w:rPr>
        <w:drawing>
          <wp:inline distT="0" distB="0" distL="0" distR="0" wp14:anchorId="53113C8F" wp14:editId="195B9ED5">
            <wp:extent cx="5133975" cy="23050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2E3EEE" w14:textId="55655739" w:rsidR="006D6271" w:rsidRDefault="006D6271" w:rsidP="00C32EC0">
      <w:pPr>
        <w:spacing w:after="0" w:line="240" w:lineRule="auto"/>
        <w:jc w:val="center"/>
        <w:rPr>
          <w:noProof/>
          <w:lang w:eastAsia="en-IN"/>
        </w:rPr>
      </w:pPr>
    </w:p>
    <w:p w14:paraId="10F89C7D" w14:textId="77777777"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6110165C" w14:textId="3A721B42" w:rsidR="00C22C21" w:rsidRPr="003A3568"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Over </w:t>
      </w:r>
      <w:r w:rsidR="00AF798A">
        <w:rPr>
          <w:rFonts w:ascii="Times New Roman" w:hAnsi="Times New Roman" w:cs="Times New Roman"/>
        </w:rPr>
        <w:t>5</w:t>
      </w:r>
      <w:r w:rsidR="009A50C4">
        <w:rPr>
          <w:rFonts w:ascii="Times New Roman" w:hAnsi="Times New Roman" w:cs="Times New Roman"/>
        </w:rPr>
        <w:t>1</w:t>
      </w:r>
      <w:r w:rsidR="005E075F">
        <w:rPr>
          <w:rFonts w:ascii="Times New Roman" w:hAnsi="Times New Roman" w:cs="Times New Roman"/>
        </w:rPr>
        <w:t xml:space="preserve">% </w:t>
      </w:r>
      <w:r w:rsidR="007914B6">
        <w:rPr>
          <w:rFonts w:ascii="Times New Roman" w:hAnsi="Times New Roman" w:cs="Times New Roman"/>
        </w:rPr>
        <w:t xml:space="preserve">of the firms </w:t>
      </w:r>
      <w:r>
        <w:rPr>
          <w:rFonts w:ascii="Times New Roman" w:hAnsi="Times New Roman" w:cs="Times New Roman"/>
        </w:rPr>
        <w:t xml:space="preserve">in </w:t>
      </w:r>
      <w:r w:rsidR="009A50C4">
        <w:rPr>
          <w:rFonts w:ascii="Times New Roman" w:hAnsi="Times New Roman" w:cs="Times New Roman"/>
        </w:rPr>
        <w:t>September</w:t>
      </w:r>
      <w:r w:rsidR="00AF798A">
        <w:rPr>
          <w:rFonts w:ascii="Times New Roman" w:hAnsi="Times New Roman" w:cs="Times New Roman"/>
        </w:rPr>
        <w:t xml:space="preserve"> 2</w:t>
      </w:r>
      <w:r w:rsidR="007F7EB5">
        <w:rPr>
          <w:rFonts w:ascii="Times New Roman" w:hAnsi="Times New Roman" w:cs="Times New Roman"/>
        </w:rPr>
        <w:t>020</w:t>
      </w:r>
      <w:r w:rsidRPr="003A3568">
        <w:rPr>
          <w:rFonts w:ascii="Times New Roman" w:hAnsi="Times New Roman" w:cs="Times New Roman"/>
        </w:rPr>
        <w:t xml:space="preserve"> report that sales are </w:t>
      </w:r>
      <w:r w:rsidR="007F7EB5">
        <w:rPr>
          <w:rFonts w:ascii="Times New Roman" w:hAnsi="Times New Roman" w:cs="Times New Roman"/>
        </w:rPr>
        <w:t>‘</w:t>
      </w:r>
      <w:r w:rsidRPr="003A3568">
        <w:rPr>
          <w:rFonts w:ascii="Times New Roman" w:hAnsi="Times New Roman" w:cs="Times New Roman"/>
        </w:rPr>
        <w:t>much less than normal</w:t>
      </w:r>
      <w:r w:rsidR="007F7EB5">
        <w:rPr>
          <w:rFonts w:ascii="Times New Roman" w:hAnsi="Times New Roman" w:cs="Times New Roman"/>
        </w:rPr>
        <w:t>’</w:t>
      </w:r>
      <w:r>
        <w:rPr>
          <w:rFonts w:ascii="Times New Roman" w:hAnsi="Times New Roman" w:cs="Times New Roman"/>
        </w:rPr>
        <w:t xml:space="preserve"> as against </w:t>
      </w:r>
      <w:r w:rsidR="009A50C4">
        <w:rPr>
          <w:rFonts w:ascii="Times New Roman" w:hAnsi="Times New Roman" w:cs="Times New Roman"/>
        </w:rPr>
        <w:t>59</w:t>
      </w:r>
      <w:r w:rsidRPr="003A3568">
        <w:rPr>
          <w:rFonts w:ascii="Times New Roman" w:hAnsi="Times New Roman" w:cs="Times New Roman"/>
        </w:rPr>
        <w:t>%</w:t>
      </w:r>
      <w:r>
        <w:rPr>
          <w:rFonts w:ascii="Times New Roman" w:hAnsi="Times New Roman" w:cs="Times New Roman"/>
        </w:rPr>
        <w:t xml:space="preserve"> firms report</w:t>
      </w:r>
      <w:r w:rsidR="005E3088">
        <w:rPr>
          <w:rFonts w:ascii="Times New Roman" w:hAnsi="Times New Roman" w:cs="Times New Roman"/>
        </w:rPr>
        <w:t>ed</w:t>
      </w:r>
      <w:r>
        <w:rPr>
          <w:rFonts w:ascii="Times New Roman" w:hAnsi="Times New Roman" w:cs="Times New Roman"/>
        </w:rPr>
        <w:t xml:space="preserve"> in </w:t>
      </w:r>
      <w:r w:rsidR="009A50C4">
        <w:rPr>
          <w:rFonts w:ascii="Times New Roman" w:hAnsi="Times New Roman" w:cs="Times New Roman"/>
        </w:rPr>
        <w:t>August</w:t>
      </w:r>
      <w:r w:rsidRPr="003C0A84">
        <w:rPr>
          <w:rFonts w:ascii="Times New Roman" w:hAnsi="Times New Roman" w:cs="Times New Roman"/>
        </w:rPr>
        <w:t>.</w:t>
      </w:r>
      <w:r w:rsidR="00727C41" w:rsidRPr="003C0A84">
        <w:rPr>
          <w:rStyle w:val="FootnoteReference"/>
          <w:rFonts w:ascii="Times New Roman" w:hAnsi="Times New Roman" w:cs="Times New Roman"/>
        </w:rPr>
        <w:footnoteReference w:id="1"/>
      </w:r>
      <w:r w:rsidR="00AF798A">
        <w:rPr>
          <w:rFonts w:ascii="Times New Roman" w:hAnsi="Times New Roman" w:cs="Times New Roman"/>
        </w:rPr>
        <w:t xml:space="preserve"> This proportion is gradually declining from March 2020</w:t>
      </w:r>
      <w:r w:rsidR="00B12DEB">
        <w:rPr>
          <w:rFonts w:ascii="Times New Roman" w:hAnsi="Times New Roman" w:cs="Times New Roman"/>
        </w:rPr>
        <w:t xml:space="preserve"> (Chart 3)</w:t>
      </w:r>
      <w:r w:rsidR="009A50C4">
        <w:rPr>
          <w:rFonts w:ascii="Times New Roman" w:hAnsi="Times New Roman" w:cs="Times New Roman"/>
        </w:rPr>
        <w:t>. T</w:t>
      </w:r>
      <w:r w:rsidR="00B12DEB">
        <w:rPr>
          <w:rFonts w:ascii="Times New Roman" w:hAnsi="Times New Roman" w:cs="Times New Roman"/>
        </w:rPr>
        <w:t xml:space="preserve">here </w:t>
      </w:r>
      <w:r w:rsidR="00C45757">
        <w:rPr>
          <w:rFonts w:ascii="Times New Roman" w:hAnsi="Times New Roman" w:cs="Times New Roman"/>
        </w:rPr>
        <w:t>are</w:t>
      </w:r>
      <w:r w:rsidR="00B12DEB">
        <w:rPr>
          <w:rFonts w:ascii="Times New Roman" w:hAnsi="Times New Roman" w:cs="Times New Roman"/>
        </w:rPr>
        <w:t xml:space="preserve"> clear signs of</w:t>
      </w:r>
      <w:r w:rsidR="009A50C4">
        <w:rPr>
          <w:rFonts w:ascii="Times New Roman" w:hAnsi="Times New Roman" w:cs="Times New Roman"/>
        </w:rPr>
        <w:t xml:space="preserve"> firms’ sales gradually getting back to the pre-</w:t>
      </w:r>
      <w:proofErr w:type="spellStart"/>
      <w:r w:rsidR="00233A94">
        <w:rPr>
          <w:rFonts w:ascii="Times New Roman" w:hAnsi="Times New Roman" w:cs="Times New Roman"/>
        </w:rPr>
        <w:t>C</w:t>
      </w:r>
      <w:r w:rsidR="009A50C4">
        <w:rPr>
          <w:rFonts w:ascii="Times New Roman" w:hAnsi="Times New Roman" w:cs="Times New Roman"/>
        </w:rPr>
        <w:t>ovid</w:t>
      </w:r>
      <w:proofErr w:type="spellEnd"/>
      <w:r w:rsidR="009A50C4">
        <w:rPr>
          <w:rFonts w:ascii="Times New Roman" w:hAnsi="Times New Roman" w:cs="Times New Roman"/>
        </w:rPr>
        <w:t xml:space="preserve"> </w:t>
      </w:r>
      <w:r w:rsidR="00B12DEB">
        <w:rPr>
          <w:rFonts w:ascii="Times New Roman" w:hAnsi="Times New Roman" w:cs="Times New Roman"/>
        </w:rPr>
        <w:t xml:space="preserve">February 2020 </w:t>
      </w:r>
      <w:r w:rsidR="009A50C4">
        <w:rPr>
          <w:rFonts w:ascii="Times New Roman" w:hAnsi="Times New Roman" w:cs="Times New Roman"/>
        </w:rPr>
        <w:t>level</w:t>
      </w:r>
      <w:r w:rsidR="00AF798A">
        <w:rPr>
          <w:rFonts w:ascii="Times New Roman" w:hAnsi="Times New Roman" w:cs="Times New Roman"/>
        </w:rPr>
        <w:t>.</w:t>
      </w:r>
      <w:r w:rsidRPr="003A3568">
        <w:rPr>
          <w:rFonts w:ascii="Times New Roman" w:hAnsi="Times New Roman" w:cs="Times New Roman"/>
        </w:rPr>
        <w:t xml:space="preserve"> </w:t>
      </w:r>
    </w:p>
    <w:p w14:paraId="4136C022" w14:textId="77777777" w:rsidR="00C22C21" w:rsidRPr="003A3568" w:rsidRDefault="00C22C21" w:rsidP="00C22C21">
      <w:pPr>
        <w:pStyle w:val="ListParagraph"/>
        <w:spacing w:after="0" w:line="240" w:lineRule="auto"/>
        <w:jc w:val="both"/>
        <w:rPr>
          <w:rFonts w:ascii="Times New Roman" w:hAnsi="Times New Roman" w:cs="Times New Roman"/>
          <w:b/>
        </w:rPr>
      </w:pPr>
    </w:p>
    <w:p w14:paraId="2744CD86" w14:textId="498E7B91" w:rsidR="00C22C21" w:rsidRPr="009A50C4" w:rsidRDefault="00C22C21" w:rsidP="009A50C4">
      <w:pPr>
        <w:pStyle w:val="ListParagraph"/>
        <w:spacing w:after="0" w:line="240" w:lineRule="auto"/>
        <w:jc w:val="center"/>
        <w:rPr>
          <w:rFonts w:ascii="Times New Roman" w:hAnsi="Times New Roman" w:cs="Times New Roman"/>
          <w:b/>
          <w:bCs/>
        </w:rPr>
      </w:pPr>
      <w:r w:rsidRPr="009A50C4">
        <w:rPr>
          <w:rFonts w:ascii="Times New Roman" w:hAnsi="Times New Roman" w:cs="Times New Roman"/>
          <w:b/>
          <w:bCs/>
        </w:rPr>
        <w:t xml:space="preserve">Chart </w:t>
      </w:r>
      <w:r w:rsidR="00E05367" w:rsidRPr="009A50C4">
        <w:rPr>
          <w:rFonts w:ascii="Times New Roman" w:hAnsi="Times New Roman" w:cs="Times New Roman"/>
          <w:b/>
          <w:bCs/>
        </w:rPr>
        <w:t>3</w:t>
      </w:r>
      <w:r w:rsidRPr="009A50C4">
        <w:rPr>
          <w:rFonts w:ascii="Times New Roman" w:hAnsi="Times New Roman" w:cs="Times New Roman"/>
          <w:b/>
          <w:bCs/>
        </w:rPr>
        <w:t>: Sales Levels - % response</w:t>
      </w:r>
    </w:p>
    <w:p w14:paraId="681683D4" w14:textId="77777777" w:rsidR="009A50C4" w:rsidRDefault="009A50C4" w:rsidP="00C22C21">
      <w:pPr>
        <w:pStyle w:val="ListParagraph"/>
        <w:spacing w:after="0" w:line="240" w:lineRule="auto"/>
        <w:jc w:val="center"/>
        <w:rPr>
          <w:rFonts w:ascii="Times New Roman" w:hAnsi="Times New Roman" w:cs="Times New Roman"/>
          <w:b/>
          <w:bCs/>
        </w:rPr>
      </w:pPr>
    </w:p>
    <w:p w14:paraId="0890B775" w14:textId="6D343892" w:rsidR="004E680E" w:rsidRDefault="006D6271" w:rsidP="00C22C21">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076B3499" wp14:editId="1D35719C">
            <wp:extent cx="5286375" cy="23145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62B36" w14:textId="3358D5E1" w:rsidR="006D6271" w:rsidRDefault="006D6271" w:rsidP="00C22C21">
      <w:pPr>
        <w:pStyle w:val="ListParagraph"/>
        <w:spacing w:after="0" w:line="240" w:lineRule="auto"/>
        <w:jc w:val="center"/>
        <w:rPr>
          <w:rFonts w:ascii="Times New Roman" w:hAnsi="Times New Roman" w:cs="Times New Roman"/>
          <w:b/>
          <w:bCs/>
        </w:rPr>
      </w:pPr>
    </w:p>
    <w:p w14:paraId="1FF63185" w14:textId="11DB3458"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3B4D866A" w14:textId="3E37E655" w:rsidR="00C22C21" w:rsidRPr="00F93FD9" w:rsidRDefault="0000342E" w:rsidP="007E191A">
      <w:pPr>
        <w:pStyle w:val="ListParagraph"/>
        <w:numPr>
          <w:ilvl w:val="0"/>
          <w:numId w:val="14"/>
        </w:numPr>
        <w:spacing w:after="0" w:line="240" w:lineRule="auto"/>
        <w:ind w:left="709"/>
        <w:jc w:val="both"/>
        <w:rPr>
          <w:rFonts w:ascii="Times New Roman" w:hAnsi="Times New Roman" w:cs="Times New Roman"/>
          <w:b/>
          <w:bCs/>
          <w:lang w:bidi="hi-IN"/>
        </w:rPr>
      </w:pPr>
      <w:r w:rsidRPr="00F93FD9">
        <w:rPr>
          <w:rFonts w:ascii="Times New Roman" w:hAnsi="Times New Roman" w:cs="Times New Roman"/>
        </w:rPr>
        <w:t xml:space="preserve">Over </w:t>
      </w:r>
      <w:r w:rsidR="00F93FD9" w:rsidRPr="00F93FD9">
        <w:rPr>
          <w:rFonts w:ascii="Times New Roman" w:hAnsi="Times New Roman" w:cs="Times New Roman"/>
        </w:rPr>
        <w:t>5</w:t>
      </w:r>
      <w:r w:rsidR="001D4136">
        <w:rPr>
          <w:rFonts w:ascii="Times New Roman" w:hAnsi="Times New Roman" w:cs="Times New Roman"/>
        </w:rPr>
        <w:t>4</w:t>
      </w:r>
      <w:r w:rsidR="00F93FD9" w:rsidRPr="00F93FD9">
        <w:rPr>
          <w:rFonts w:ascii="Times New Roman" w:hAnsi="Times New Roman" w:cs="Times New Roman"/>
        </w:rPr>
        <w:t xml:space="preserve">% </w:t>
      </w:r>
      <w:r w:rsidR="00C22C21" w:rsidRPr="00F93FD9">
        <w:rPr>
          <w:rFonts w:ascii="Times New Roman" w:hAnsi="Times New Roman" w:cs="Times New Roman"/>
        </w:rPr>
        <w:t xml:space="preserve">of firms in the sample </w:t>
      </w:r>
      <w:r w:rsidRPr="00F93FD9">
        <w:rPr>
          <w:rFonts w:ascii="Times New Roman" w:hAnsi="Times New Roman" w:cs="Times New Roman"/>
        </w:rPr>
        <w:t xml:space="preserve">in </w:t>
      </w:r>
      <w:r w:rsidR="001D4136">
        <w:rPr>
          <w:rFonts w:ascii="Times New Roman" w:hAnsi="Times New Roman" w:cs="Times New Roman"/>
        </w:rPr>
        <w:t>September</w:t>
      </w:r>
      <w:r w:rsidRPr="00F93FD9">
        <w:rPr>
          <w:rFonts w:ascii="Times New Roman" w:hAnsi="Times New Roman" w:cs="Times New Roman"/>
        </w:rPr>
        <w:t xml:space="preserve"> 2020 </w:t>
      </w:r>
      <w:r w:rsidR="00C22C21" w:rsidRPr="00F93FD9">
        <w:rPr>
          <w:rFonts w:ascii="Times New Roman" w:hAnsi="Times New Roman" w:cs="Times New Roman"/>
        </w:rPr>
        <w:t>report</w:t>
      </w:r>
      <w:r w:rsidRPr="00F93FD9">
        <w:rPr>
          <w:rFonts w:ascii="Times New Roman" w:hAnsi="Times New Roman" w:cs="Times New Roman"/>
        </w:rPr>
        <w:t>ed</w:t>
      </w:r>
      <w:r w:rsidR="00C22C21" w:rsidRPr="00F93FD9">
        <w:rPr>
          <w:rFonts w:ascii="Times New Roman" w:hAnsi="Times New Roman" w:cs="Times New Roman"/>
        </w:rPr>
        <w:t xml:space="preserve"> ‘much less than normal’ profit </w:t>
      </w:r>
      <w:r w:rsidRPr="00F93FD9">
        <w:rPr>
          <w:rFonts w:ascii="Times New Roman" w:hAnsi="Times New Roman" w:cs="Times New Roman"/>
        </w:rPr>
        <w:t xml:space="preserve">as against </w:t>
      </w:r>
      <w:r w:rsidR="001D4136">
        <w:rPr>
          <w:rFonts w:ascii="Times New Roman" w:hAnsi="Times New Roman" w:cs="Times New Roman"/>
        </w:rPr>
        <w:t>57</w:t>
      </w:r>
      <w:r w:rsidR="00F93FD9" w:rsidRPr="00F93FD9">
        <w:rPr>
          <w:rFonts w:ascii="Times New Roman" w:hAnsi="Times New Roman" w:cs="Times New Roman"/>
        </w:rPr>
        <w:t xml:space="preserve">% </w:t>
      </w:r>
      <w:r w:rsidR="00C22C21" w:rsidRPr="00F93FD9">
        <w:rPr>
          <w:rFonts w:ascii="Times New Roman" w:hAnsi="Times New Roman" w:cs="Times New Roman"/>
        </w:rPr>
        <w:t xml:space="preserve">in </w:t>
      </w:r>
      <w:r w:rsidR="001D4136">
        <w:rPr>
          <w:rFonts w:ascii="Times New Roman" w:hAnsi="Times New Roman" w:cs="Times New Roman"/>
        </w:rPr>
        <w:t>August</w:t>
      </w:r>
      <w:r w:rsidR="00D11372" w:rsidRPr="00F93FD9">
        <w:rPr>
          <w:rFonts w:ascii="Times New Roman" w:hAnsi="Times New Roman" w:cs="Times New Roman"/>
        </w:rPr>
        <w:t xml:space="preserve"> </w:t>
      </w:r>
      <w:r w:rsidR="00C22C21" w:rsidRPr="00F93FD9">
        <w:rPr>
          <w:rFonts w:ascii="Times New Roman" w:hAnsi="Times New Roman" w:cs="Times New Roman"/>
        </w:rPr>
        <w:t>2020</w:t>
      </w:r>
      <w:r w:rsidRPr="00F93FD9">
        <w:rPr>
          <w:rFonts w:ascii="Times New Roman" w:hAnsi="Times New Roman" w:cs="Times New Roman"/>
        </w:rPr>
        <w:t>.</w:t>
      </w:r>
      <w:r w:rsidR="00C22C21" w:rsidRPr="00F93FD9">
        <w:rPr>
          <w:rFonts w:ascii="Times New Roman" w:hAnsi="Times New Roman" w:cs="Times New Roman"/>
        </w:rPr>
        <w:t xml:space="preserve"> </w:t>
      </w:r>
      <w:r w:rsidR="00DC19A8">
        <w:rPr>
          <w:rFonts w:ascii="Times New Roman" w:hAnsi="Times New Roman" w:cs="Times New Roman"/>
        </w:rPr>
        <w:t xml:space="preserve">Firms are moving from </w:t>
      </w:r>
      <w:r w:rsidR="00DC19A8" w:rsidRPr="00F93FD9">
        <w:rPr>
          <w:rFonts w:ascii="Times New Roman" w:hAnsi="Times New Roman" w:cs="Times New Roman"/>
        </w:rPr>
        <w:t xml:space="preserve">‘much less than normal’ profit </w:t>
      </w:r>
      <w:r w:rsidR="00DC19A8">
        <w:rPr>
          <w:rFonts w:ascii="Times New Roman" w:hAnsi="Times New Roman" w:cs="Times New Roman"/>
        </w:rPr>
        <w:t>to ‘somewhat less than normal’</w:t>
      </w:r>
      <w:r w:rsidR="001D4136">
        <w:rPr>
          <w:rFonts w:ascii="Times New Roman" w:hAnsi="Times New Roman" w:cs="Times New Roman"/>
        </w:rPr>
        <w:t xml:space="preserve"> and ‘about normal’</w:t>
      </w:r>
      <w:r w:rsidR="00DC19A8">
        <w:rPr>
          <w:rFonts w:ascii="Times New Roman" w:hAnsi="Times New Roman" w:cs="Times New Roman"/>
        </w:rPr>
        <w:t xml:space="preserve"> profit category gradually</w:t>
      </w:r>
      <w:r w:rsidR="00E47676">
        <w:rPr>
          <w:rFonts w:ascii="Times New Roman" w:hAnsi="Times New Roman" w:cs="Times New Roman"/>
        </w:rPr>
        <w:t xml:space="preserve"> (Chart </w:t>
      </w:r>
      <w:r w:rsidR="00E05367">
        <w:rPr>
          <w:rFonts w:ascii="Times New Roman" w:hAnsi="Times New Roman" w:cs="Times New Roman"/>
        </w:rPr>
        <w:t>4</w:t>
      </w:r>
      <w:r w:rsidR="00E47676">
        <w:rPr>
          <w:rFonts w:ascii="Times New Roman" w:hAnsi="Times New Roman" w:cs="Times New Roman"/>
        </w:rPr>
        <w:t>)</w:t>
      </w:r>
      <w:r w:rsidR="00DC19A8">
        <w:rPr>
          <w:rFonts w:ascii="Times New Roman" w:hAnsi="Times New Roman" w:cs="Times New Roman"/>
        </w:rPr>
        <w:t xml:space="preserve">.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1DDF6001"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05367">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417D33D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3A8E74" w14:textId="31D15593" w:rsidR="00C22C21" w:rsidRDefault="003E2791" w:rsidP="00C22C21">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46CCC90F" wp14:editId="5A0E9B17">
            <wp:extent cx="5561330" cy="2676525"/>
            <wp:effectExtent l="0" t="0" r="127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0BE806" w14:textId="77777777" w:rsidR="00E05367" w:rsidRDefault="00E05367" w:rsidP="00C32EC0">
      <w:pPr>
        <w:spacing w:after="0" w:line="240" w:lineRule="auto"/>
        <w:jc w:val="center"/>
        <w:rPr>
          <w:rFonts w:ascii="Times New Roman" w:hAnsi="Times New Roman" w:cs="Times New Roman"/>
          <w:b/>
          <w:sz w:val="28"/>
          <w:szCs w:val="28"/>
        </w:rPr>
      </w:pPr>
    </w:p>
    <w:p w14:paraId="1393B99A" w14:textId="77777777" w:rsidR="00B0427A" w:rsidRPr="00AB144A" w:rsidRDefault="00B0427A" w:rsidP="00B0427A">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2543FC93" w14:textId="77777777" w:rsidR="00B0427A" w:rsidRPr="00AB144A" w:rsidRDefault="00B0427A" w:rsidP="00B0427A">
      <w:pPr>
        <w:spacing w:after="0" w:line="240" w:lineRule="auto"/>
        <w:ind w:left="360"/>
        <w:jc w:val="both"/>
        <w:rPr>
          <w:rFonts w:ascii="Times New Roman" w:hAnsi="Times New Roman" w:cs="Times New Roman"/>
          <w:i/>
          <w:iCs/>
          <w:sz w:val="20"/>
          <w:szCs w:val="20"/>
          <w:u w:val="single"/>
        </w:rPr>
      </w:pPr>
    </w:p>
    <w:p w14:paraId="3C3D4CA6" w14:textId="77777777" w:rsidR="00B0427A" w:rsidRPr="00AB144A" w:rsidRDefault="00B0427A" w:rsidP="00B0427A">
      <w:pPr>
        <w:spacing w:after="0" w:line="240" w:lineRule="auto"/>
        <w:ind w:left="360"/>
        <w:jc w:val="both"/>
        <w:rPr>
          <w:rFonts w:ascii="Times New Roman" w:hAnsi="Times New Roman" w:cs="Times New Roman"/>
          <w:sz w:val="20"/>
          <w:szCs w:val="20"/>
        </w:rPr>
      </w:pPr>
    </w:p>
    <w:p w14:paraId="16B24D74" w14:textId="77777777" w:rsidR="00B0427A" w:rsidRPr="00AB144A" w:rsidRDefault="00B0427A" w:rsidP="00B0427A">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51522A1D" w14:textId="77777777" w:rsidR="00B0427A" w:rsidRPr="00AB144A" w:rsidRDefault="00B0427A" w:rsidP="00B0427A">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5826859B" w14:textId="77777777" w:rsidR="00B0427A" w:rsidRPr="003A4953" w:rsidRDefault="00B0427A" w:rsidP="00B0427A">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3" w:history="1">
        <w:r w:rsidRPr="00AB144A">
          <w:rPr>
            <w:rStyle w:val="Hyperlink"/>
            <w:rFonts w:ascii="Times New Roman" w:hAnsi="Times New Roman" w:cs="Times New Roman"/>
            <w:sz w:val="20"/>
            <w:szCs w:val="20"/>
          </w:rPr>
          <w:t>pr@iima.ac.in</w:t>
        </w:r>
      </w:hyperlink>
    </w:p>
    <w:p w14:paraId="07C5A852" w14:textId="77777777" w:rsidR="00E05367" w:rsidRDefault="00E05367">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3C0EC55A" w14:textId="3A8B298C" w:rsidR="009F5421" w:rsidRDefault="009F5421" w:rsidP="00C32EC0">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B0427A">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6A7B2" w14:textId="77777777" w:rsidR="00C965BF" w:rsidRDefault="00C965BF" w:rsidP="00B81990">
      <w:pPr>
        <w:spacing w:after="0" w:line="240" w:lineRule="auto"/>
      </w:pPr>
      <w:r>
        <w:separator/>
      </w:r>
    </w:p>
  </w:endnote>
  <w:endnote w:type="continuationSeparator" w:id="0">
    <w:p w14:paraId="7A944467" w14:textId="77777777" w:rsidR="00C965BF" w:rsidRDefault="00C965BF"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552E5157"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233A94">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1ACB3" w14:textId="77777777" w:rsidR="00C965BF" w:rsidRDefault="00C965BF" w:rsidP="00B81990">
      <w:pPr>
        <w:spacing w:after="0" w:line="240" w:lineRule="auto"/>
      </w:pPr>
      <w:r>
        <w:separator/>
      </w:r>
    </w:p>
  </w:footnote>
  <w:footnote w:type="continuationSeparator" w:id="0">
    <w:p w14:paraId="20E292E3" w14:textId="77777777" w:rsidR="00C965BF" w:rsidRDefault="00C965BF" w:rsidP="00B81990">
      <w:pPr>
        <w:spacing w:after="0" w:line="240" w:lineRule="auto"/>
      </w:pPr>
      <w:r>
        <w:continuationSeparator/>
      </w:r>
    </w:p>
  </w:footnote>
  <w:footnote w:id="1">
    <w:p w14:paraId="71099687" w14:textId="05DDAB54"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p>
    <w:p w14:paraId="17E0B919" w14:textId="77777777" w:rsidR="00727C41" w:rsidRDefault="00727C41" w:rsidP="00727C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04BB629E"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AIDMzMDA2MlHaXg1OLizPw8kAKTWgBq31kpLAAAAA=="/>
  </w:docVars>
  <w:rsids>
    <w:rsidRoot w:val="00360057"/>
    <w:rsid w:val="00000209"/>
    <w:rsid w:val="0000342E"/>
    <w:rsid w:val="00013CAF"/>
    <w:rsid w:val="0001471A"/>
    <w:rsid w:val="00015185"/>
    <w:rsid w:val="00015A8B"/>
    <w:rsid w:val="00021AB1"/>
    <w:rsid w:val="00025620"/>
    <w:rsid w:val="00026033"/>
    <w:rsid w:val="000302BE"/>
    <w:rsid w:val="00031DFE"/>
    <w:rsid w:val="00034A5A"/>
    <w:rsid w:val="00037176"/>
    <w:rsid w:val="0004003F"/>
    <w:rsid w:val="00040413"/>
    <w:rsid w:val="000410FA"/>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077C5"/>
    <w:rsid w:val="001158B6"/>
    <w:rsid w:val="00117EA6"/>
    <w:rsid w:val="00123D0E"/>
    <w:rsid w:val="0012538D"/>
    <w:rsid w:val="001336E9"/>
    <w:rsid w:val="0013692E"/>
    <w:rsid w:val="00151017"/>
    <w:rsid w:val="0016283C"/>
    <w:rsid w:val="00164F51"/>
    <w:rsid w:val="001655AC"/>
    <w:rsid w:val="00166A4E"/>
    <w:rsid w:val="00172D2F"/>
    <w:rsid w:val="00173637"/>
    <w:rsid w:val="00180A28"/>
    <w:rsid w:val="001819EF"/>
    <w:rsid w:val="00184672"/>
    <w:rsid w:val="00193978"/>
    <w:rsid w:val="001940AF"/>
    <w:rsid w:val="00195BE5"/>
    <w:rsid w:val="00196273"/>
    <w:rsid w:val="001A0262"/>
    <w:rsid w:val="001A0A32"/>
    <w:rsid w:val="001A6413"/>
    <w:rsid w:val="001A6746"/>
    <w:rsid w:val="001B402A"/>
    <w:rsid w:val="001B6932"/>
    <w:rsid w:val="001C3CD1"/>
    <w:rsid w:val="001C51A0"/>
    <w:rsid w:val="001C58E1"/>
    <w:rsid w:val="001D09C4"/>
    <w:rsid w:val="001D4136"/>
    <w:rsid w:val="001D528C"/>
    <w:rsid w:val="001E1067"/>
    <w:rsid w:val="001E2827"/>
    <w:rsid w:val="001E3345"/>
    <w:rsid w:val="001E4459"/>
    <w:rsid w:val="001E6B4A"/>
    <w:rsid w:val="001E70EB"/>
    <w:rsid w:val="001F0744"/>
    <w:rsid w:val="001F205A"/>
    <w:rsid w:val="001F2A04"/>
    <w:rsid w:val="00200CD6"/>
    <w:rsid w:val="002027FF"/>
    <w:rsid w:val="00204D14"/>
    <w:rsid w:val="00207737"/>
    <w:rsid w:val="00207BE1"/>
    <w:rsid w:val="00207C62"/>
    <w:rsid w:val="0021734F"/>
    <w:rsid w:val="00221CD4"/>
    <w:rsid w:val="0022284A"/>
    <w:rsid w:val="002232C2"/>
    <w:rsid w:val="002264C8"/>
    <w:rsid w:val="002267FF"/>
    <w:rsid w:val="00227510"/>
    <w:rsid w:val="00227966"/>
    <w:rsid w:val="00231C31"/>
    <w:rsid w:val="00231EFD"/>
    <w:rsid w:val="00232F2E"/>
    <w:rsid w:val="00233A94"/>
    <w:rsid w:val="0025286A"/>
    <w:rsid w:val="002528D0"/>
    <w:rsid w:val="0025352C"/>
    <w:rsid w:val="002561E5"/>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D09F4"/>
    <w:rsid w:val="002D47D1"/>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54FD"/>
    <w:rsid w:val="00337620"/>
    <w:rsid w:val="00337BA5"/>
    <w:rsid w:val="00340C14"/>
    <w:rsid w:val="00343E59"/>
    <w:rsid w:val="003510A7"/>
    <w:rsid w:val="00351891"/>
    <w:rsid w:val="0035640B"/>
    <w:rsid w:val="00360057"/>
    <w:rsid w:val="00360695"/>
    <w:rsid w:val="003705BC"/>
    <w:rsid w:val="00370881"/>
    <w:rsid w:val="00371173"/>
    <w:rsid w:val="0037198D"/>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B7854"/>
    <w:rsid w:val="003C0A84"/>
    <w:rsid w:val="003C3FD2"/>
    <w:rsid w:val="003D7A28"/>
    <w:rsid w:val="003E1B2E"/>
    <w:rsid w:val="003E2791"/>
    <w:rsid w:val="003E289D"/>
    <w:rsid w:val="003E2EFE"/>
    <w:rsid w:val="003E3A03"/>
    <w:rsid w:val="003E482A"/>
    <w:rsid w:val="003E6255"/>
    <w:rsid w:val="003E6597"/>
    <w:rsid w:val="003E6C3E"/>
    <w:rsid w:val="003F1404"/>
    <w:rsid w:val="003F30C5"/>
    <w:rsid w:val="003F31CF"/>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37B16"/>
    <w:rsid w:val="00437B42"/>
    <w:rsid w:val="004412D2"/>
    <w:rsid w:val="004426F5"/>
    <w:rsid w:val="004442DD"/>
    <w:rsid w:val="0044490E"/>
    <w:rsid w:val="004545A1"/>
    <w:rsid w:val="004545C8"/>
    <w:rsid w:val="00455861"/>
    <w:rsid w:val="004631A4"/>
    <w:rsid w:val="00463F75"/>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D79CC"/>
    <w:rsid w:val="004E45A6"/>
    <w:rsid w:val="004E4E8E"/>
    <w:rsid w:val="004E680E"/>
    <w:rsid w:val="004E7722"/>
    <w:rsid w:val="004F099C"/>
    <w:rsid w:val="004F1230"/>
    <w:rsid w:val="004F39F6"/>
    <w:rsid w:val="004F42CF"/>
    <w:rsid w:val="00502A3B"/>
    <w:rsid w:val="00507D28"/>
    <w:rsid w:val="005231C1"/>
    <w:rsid w:val="0052567E"/>
    <w:rsid w:val="00526FE8"/>
    <w:rsid w:val="00531C53"/>
    <w:rsid w:val="005358D3"/>
    <w:rsid w:val="00537192"/>
    <w:rsid w:val="005372B2"/>
    <w:rsid w:val="00540961"/>
    <w:rsid w:val="00541C3C"/>
    <w:rsid w:val="00542A80"/>
    <w:rsid w:val="005433ED"/>
    <w:rsid w:val="005517F3"/>
    <w:rsid w:val="00552681"/>
    <w:rsid w:val="00560A54"/>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16F"/>
    <w:rsid w:val="005A340D"/>
    <w:rsid w:val="005A491A"/>
    <w:rsid w:val="005B15EC"/>
    <w:rsid w:val="005B3E50"/>
    <w:rsid w:val="005C067D"/>
    <w:rsid w:val="005C226C"/>
    <w:rsid w:val="005C2FB0"/>
    <w:rsid w:val="005C36AF"/>
    <w:rsid w:val="005C4298"/>
    <w:rsid w:val="005D180D"/>
    <w:rsid w:val="005D4584"/>
    <w:rsid w:val="005D60C2"/>
    <w:rsid w:val="005E075F"/>
    <w:rsid w:val="005E0BFA"/>
    <w:rsid w:val="005E28DD"/>
    <w:rsid w:val="005E2B79"/>
    <w:rsid w:val="005E3088"/>
    <w:rsid w:val="005E3E89"/>
    <w:rsid w:val="005E60AE"/>
    <w:rsid w:val="005E6503"/>
    <w:rsid w:val="005E76EC"/>
    <w:rsid w:val="005F12A3"/>
    <w:rsid w:val="005F1E36"/>
    <w:rsid w:val="005F50CA"/>
    <w:rsid w:val="005F5FD8"/>
    <w:rsid w:val="005F641E"/>
    <w:rsid w:val="00600772"/>
    <w:rsid w:val="0060634C"/>
    <w:rsid w:val="00607937"/>
    <w:rsid w:val="00611AFF"/>
    <w:rsid w:val="00611B27"/>
    <w:rsid w:val="0061399F"/>
    <w:rsid w:val="00615F65"/>
    <w:rsid w:val="00616F2B"/>
    <w:rsid w:val="00620DEE"/>
    <w:rsid w:val="00623D39"/>
    <w:rsid w:val="00632747"/>
    <w:rsid w:val="006375AE"/>
    <w:rsid w:val="00637E4F"/>
    <w:rsid w:val="006402AF"/>
    <w:rsid w:val="006420D4"/>
    <w:rsid w:val="00642A22"/>
    <w:rsid w:val="0064464F"/>
    <w:rsid w:val="00647B5F"/>
    <w:rsid w:val="00653DAB"/>
    <w:rsid w:val="006543F0"/>
    <w:rsid w:val="00654ABC"/>
    <w:rsid w:val="00655AF8"/>
    <w:rsid w:val="00655B50"/>
    <w:rsid w:val="006613F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D6271"/>
    <w:rsid w:val="006E37BA"/>
    <w:rsid w:val="006E4700"/>
    <w:rsid w:val="006E4C60"/>
    <w:rsid w:val="006F0B44"/>
    <w:rsid w:val="006F1970"/>
    <w:rsid w:val="006F2DA7"/>
    <w:rsid w:val="006F3A19"/>
    <w:rsid w:val="00700ACC"/>
    <w:rsid w:val="00702A65"/>
    <w:rsid w:val="007066C9"/>
    <w:rsid w:val="00707534"/>
    <w:rsid w:val="0071262A"/>
    <w:rsid w:val="00712FBA"/>
    <w:rsid w:val="00722522"/>
    <w:rsid w:val="00722930"/>
    <w:rsid w:val="007260EC"/>
    <w:rsid w:val="00726865"/>
    <w:rsid w:val="00727C41"/>
    <w:rsid w:val="00727E39"/>
    <w:rsid w:val="00727F1A"/>
    <w:rsid w:val="00733A24"/>
    <w:rsid w:val="00737C5B"/>
    <w:rsid w:val="007408B3"/>
    <w:rsid w:val="00741F1A"/>
    <w:rsid w:val="00745969"/>
    <w:rsid w:val="007460CF"/>
    <w:rsid w:val="007471A8"/>
    <w:rsid w:val="00751794"/>
    <w:rsid w:val="00751D63"/>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88E"/>
    <w:rsid w:val="007932A0"/>
    <w:rsid w:val="007953E9"/>
    <w:rsid w:val="00796AC9"/>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E00F8"/>
    <w:rsid w:val="007E3079"/>
    <w:rsid w:val="007E34C7"/>
    <w:rsid w:val="007E358E"/>
    <w:rsid w:val="007E4CCC"/>
    <w:rsid w:val="007E56D7"/>
    <w:rsid w:val="007E6DB3"/>
    <w:rsid w:val="007F043E"/>
    <w:rsid w:val="007F3947"/>
    <w:rsid w:val="007F71B0"/>
    <w:rsid w:val="007F7EB5"/>
    <w:rsid w:val="008007DF"/>
    <w:rsid w:val="008017A8"/>
    <w:rsid w:val="0080376C"/>
    <w:rsid w:val="00805222"/>
    <w:rsid w:val="008064AB"/>
    <w:rsid w:val="00807E0B"/>
    <w:rsid w:val="008145F7"/>
    <w:rsid w:val="008146BB"/>
    <w:rsid w:val="0082161A"/>
    <w:rsid w:val="0082183B"/>
    <w:rsid w:val="00825146"/>
    <w:rsid w:val="00826CD7"/>
    <w:rsid w:val="008423F0"/>
    <w:rsid w:val="00843357"/>
    <w:rsid w:val="00843DBB"/>
    <w:rsid w:val="008472C0"/>
    <w:rsid w:val="0085158A"/>
    <w:rsid w:val="00852C2C"/>
    <w:rsid w:val="0085584D"/>
    <w:rsid w:val="00860E1B"/>
    <w:rsid w:val="00866C92"/>
    <w:rsid w:val="008676A2"/>
    <w:rsid w:val="0086778C"/>
    <w:rsid w:val="00873384"/>
    <w:rsid w:val="00875810"/>
    <w:rsid w:val="00881AF0"/>
    <w:rsid w:val="00882A52"/>
    <w:rsid w:val="008859D8"/>
    <w:rsid w:val="00885DC8"/>
    <w:rsid w:val="00892431"/>
    <w:rsid w:val="008924DF"/>
    <w:rsid w:val="00894320"/>
    <w:rsid w:val="008975DD"/>
    <w:rsid w:val="008A019B"/>
    <w:rsid w:val="008A3A87"/>
    <w:rsid w:val="008B10A9"/>
    <w:rsid w:val="008B606E"/>
    <w:rsid w:val="008B6EB4"/>
    <w:rsid w:val="008B7D3F"/>
    <w:rsid w:val="008C1D6F"/>
    <w:rsid w:val="008C61A7"/>
    <w:rsid w:val="008D4140"/>
    <w:rsid w:val="008D53AF"/>
    <w:rsid w:val="008D63AC"/>
    <w:rsid w:val="008D6D83"/>
    <w:rsid w:val="008E3537"/>
    <w:rsid w:val="008E3EB5"/>
    <w:rsid w:val="008E567C"/>
    <w:rsid w:val="008E6F9A"/>
    <w:rsid w:val="008E7685"/>
    <w:rsid w:val="008F0ABC"/>
    <w:rsid w:val="008F1F2D"/>
    <w:rsid w:val="008F2A57"/>
    <w:rsid w:val="008F583E"/>
    <w:rsid w:val="009002A7"/>
    <w:rsid w:val="00901FA2"/>
    <w:rsid w:val="0090345B"/>
    <w:rsid w:val="00906256"/>
    <w:rsid w:val="00907B2A"/>
    <w:rsid w:val="009115E9"/>
    <w:rsid w:val="00911FB2"/>
    <w:rsid w:val="009133FE"/>
    <w:rsid w:val="0091559F"/>
    <w:rsid w:val="00916798"/>
    <w:rsid w:val="009174E4"/>
    <w:rsid w:val="00925659"/>
    <w:rsid w:val="00927A52"/>
    <w:rsid w:val="00930466"/>
    <w:rsid w:val="0093664C"/>
    <w:rsid w:val="00943D62"/>
    <w:rsid w:val="00946987"/>
    <w:rsid w:val="00946BCD"/>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A50C4"/>
    <w:rsid w:val="009B4441"/>
    <w:rsid w:val="009B5ECF"/>
    <w:rsid w:val="009C0D5A"/>
    <w:rsid w:val="009C3663"/>
    <w:rsid w:val="009C41A3"/>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16BE6"/>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53C43"/>
    <w:rsid w:val="00A60774"/>
    <w:rsid w:val="00A625F5"/>
    <w:rsid w:val="00A67C11"/>
    <w:rsid w:val="00A706CF"/>
    <w:rsid w:val="00A71A5C"/>
    <w:rsid w:val="00A72F20"/>
    <w:rsid w:val="00A74867"/>
    <w:rsid w:val="00A80993"/>
    <w:rsid w:val="00A81314"/>
    <w:rsid w:val="00A93D2E"/>
    <w:rsid w:val="00A95C0D"/>
    <w:rsid w:val="00A963FC"/>
    <w:rsid w:val="00A97FD6"/>
    <w:rsid w:val="00AA427B"/>
    <w:rsid w:val="00AA4EBB"/>
    <w:rsid w:val="00AA63A1"/>
    <w:rsid w:val="00AB07F1"/>
    <w:rsid w:val="00AB1899"/>
    <w:rsid w:val="00AB496C"/>
    <w:rsid w:val="00AB7A45"/>
    <w:rsid w:val="00AC6C7C"/>
    <w:rsid w:val="00AD0751"/>
    <w:rsid w:val="00AD1A8D"/>
    <w:rsid w:val="00AD6B64"/>
    <w:rsid w:val="00AE5FF5"/>
    <w:rsid w:val="00AE7F0F"/>
    <w:rsid w:val="00AF1BF3"/>
    <w:rsid w:val="00AF3DDC"/>
    <w:rsid w:val="00AF6100"/>
    <w:rsid w:val="00AF798A"/>
    <w:rsid w:val="00AF7A26"/>
    <w:rsid w:val="00B00CB3"/>
    <w:rsid w:val="00B0427A"/>
    <w:rsid w:val="00B06244"/>
    <w:rsid w:val="00B063D4"/>
    <w:rsid w:val="00B103AE"/>
    <w:rsid w:val="00B10A5C"/>
    <w:rsid w:val="00B10E39"/>
    <w:rsid w:val="00B129FC"/>
    <w:rsid w:val="00B12CC7"/>
    <w:rsid w:val="00B12DEB"/>
    <w:rsid w:val="00B169DF"/>
    <w:rsid w:val="00B200A7"/>
    <w:rsid w:val="00B215BA"/>
    <w:rsid w:val="00B2227F"/>
    <w:rsid w:val="00B25477"/>
    <w:rsid w:val="00B32121"/>
    <w:rsid w:val="00B40A55"/>
    <w:rsid w:val="00B41EF3"/>
    <w:rsid w:val="00B41FD1"/>
    <w:rsid w:val="00B4405A"/>
    <w:rsid w:val="00B468BD"/>
    <w:rsid w:val="00B51229"/>
    <w:rsid w:val="00B51681"/>
    <w:rsid w:val="00B5663F"/>
    <w:rsid w:val="00B6059C"/>
    <w:rsid w:val="00B60CD1"/>
    <w:rsid w:val="00B61481"/>
    <w:rsid w:val="00B6165E"/>
    <w:rsid w:val="00B66E50"/>
    <w:rsid w:val="00B70FC1"/>
    <w:rsid w:val="00B72400"/>
    <w:rsid w:val="00B7522D"/>
    <w:rsid w:val="00B7624A"/>
    <w:rsid w:val="00B76D03"/>
    <w:rsid w:val="00B81990"/>
    <w:rsid w:val="00B84A4A"/>
    <w:rsid w:val="00B84BE6"/>
    <w:rsid w:val="00B854C5"/>
    <w:rsid w:val="00B85782"/>
    <w:rsid w:val="00B85ED5"/>
    <w:rsid w:val="00B8726E"/>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2C21"/>
    <w:rsid w:val="00C25290"/>
    <w:rsid w:val="00C2619B"/>
    <w:rsid w:val="00C27EC1"/>
    <w:rsid w:val="00C31736"/>
    <w:rsid w:val="00C32EC0"/>
    <w:rsid w:val="00C33531"/>
    <w:rsid w:val="00C35070"/>
    <w:rsid w:val="00C371B5"/>
    <w:rsid w:val="00C42227"/>
    <w:rsid w:val="00C4575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5BF"/>
    <w:rsid w:val="00C96B58"/>
    <w:rsid w:val="00C96C66"/>
    <w:rsid w:val="00CA0366"/>
    <w:rsid w:val="00CA0452"/>
    <w:rsid w:val="00CA2329"/>
    <w:rsid w:val="00CA603B"/>
    <w:rsid w:val="00CB062C"/>
    <w:rsid w:val="00CB3CF1"/>
    <w:rsid w:val="00CB4C04"/>
    <w:rsid w:val="00CB54EB"/>
    <w:rsid w:val="00CB5FEC"/>
    <w:rsid w:val="00CC0054"/>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336"/>
    <w:rsid w:val="00D005C5"/>
    <w:rsid w:val="00D010FE"/>
    <w:rsid w:val="00D02C8B"/>
    <w:rsid w:val="00D0385E"/>
    <w:rsid w:val="00D10FE5"/>
    <w:rsid w:val="00D11372"/>
    <w:rsid w:val="00D12D55"/>
    <w:rsid w:val="00D1761A"/>
    <w:rsid w:val="00D20770"/>
    <w:rsid w:val="00D22274"/>
    <w:rsid w:val="00D230FA"/>
    <w:rsid w:val="00D243AE"/>
    <w:rsid w:val="00D30231"/>
    <w:rsid w:val="00D308FA"/>
    <w:rsid w:val="00D3210D"/>
    <w:rsid w:val="00D3337A"/>
    <w:rsid w:val="00D35086"/>
    <w:rsid w:val="00D353B5"/>
    <w:rsid w:val="00D367DD"/>
    <w:rsid w:val="00D40035"/>
    <w:rsid w:val="00D40FCB"/>
    <w:rsid w:val="00D4286A"/>
    <w:rsid w:val="00D42893"/>
    <w:rsid w:val="00D51305"/>
    <w:rsid w:val="00D6526A"/>
    <w:rsid w:val="00D666DA"/>
    <w:rsid w:val="00D77C74"/>
    <w:rsid w:val="00D80892"/>
    <w:rsid w:val="00D836A4"/>
    <w:rsid w:val="00D84D83"/>
    <w:rsid w:val="00D86324"/>
    <w:rsid w:val="00D86FBB"/>
    <w:rsid w:val="00D925B4"/>
    <w:rsid w:val="00D94524"/>
    <w:rsid w:val="00D969A2"/>
    <w:rsid w:val="00DA5475"/>
    <w:rsid w:val="00DA5CEE"/>
    <w:rsid w:val="00DA7B90"/>
    <w:rsid w:val="00DB00CF"/>
    <w:rsid w:val="00DB27C4"/>
    <w:rsid w:val="00DB3B95"/>
    <w:rsid w:val="00DB6503"/>
    <w:rsid w:val="00DB6736"/>
    <w:rsid w:val="00DC0290"/>
    <w:rsid w:val="00DC1400"/>
    <w:rsid w:val="00DC19A8"/>
    <w:rsid w:val="00DC3C63"/>
    <w:rsid w:val="00DC6FF1"/>
    <w:rsid w:val="00DC7809"/>
    <w:rsid w:val="00DD2341"/>
    <w:rsid w:val="00DD3E9B"/>
    <w:rsid w:val="00DD517A"/>
    <w:rsid w:val="00DD58D7"/>
    <w:rsid w:val="00DE3769"/>
    <w:rsid w:val="00DE4CA8"/>
    <w:rsid w:val="00DE57C4"/>
    <w:rsid w:val="00DE639D"/>
    <w:rsid w:val="00DE77D9"/>
    <w:rsid w:val="00DF1342"/>
    <w:rsid w:val="00DF1CBE"/>
    <w:rsid w:val="00DF47BA"/>
    <w:rsid w:val="00E0056C"/>
    <w:rsid w:val="00E05367"/>
    <w:rsid w:val="00E05849"/>
    <w:rsid w:val="00E05EDE"/>
    <w:rsid w:val="00E14ED2"/>
    <w:rsid w:val="00E203F6"/>
    <w:rsid w:val="00E22CE6"/>
    <w:rsid w:val="00E30AF0"/>
    <w:rsid w:val="00E30D4C"/>
    <w:rsid w:val="00E328CB"/>
    <w:rsid w:val="00E33FBC"/>
    <w:rsid w:val="00E34950"/>
    <w:rsid w:val="00E35688"/>
    <w:rsid w:val="00E368B6"/>
    <w:rsid w:val="00E4231D"/>
    <w:rsid w:val="00E44457"/>
    <w:rsid w:val="00E44BBB"/>
    <w:rsid w:val="00E46742"/>
    <w:rsid w:val="00E47676"/>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0495"/>
    <w:rsid w:val="00E8126B"/>
    <w:rsid w:val="00E834E5"/>
    <w:rsid w:val="00E914D9"/>
    <w:rsid w:val="00E9356D"/>
    <w:rsid w:val="00E953FD"/>
    <w:rsid w:val="00E96963"/>
    <w:rsid w:val="00EA1765"/>
    <w:rsid w:val="00EA264B"/>
    <w:rsid w:val="00EA367A"/>
    <w:rsid w:val="00EA5602"/>
    <w:rsid w:val="00EA79D4"/>
    <w:rsid w:val="00EB118F"/>
    <w:rsid w:val="00EB1D74"/>
    <w:rsid w:val="00EB7978"/>
    <w:rsid w:val="00EC19F6"/>
    <w:rsid w:val="00EC71C1"/>
    <w:rsid w:val="00ED00BB"/>
    <w:rsid w:val="00ED22A9"/>
    <w:rsid w:val="00ED330C"/>
    <w:rsid w:val="00ED5E8A"/>
    <w:rsid w:val="00ED713A"/>
    <w:rsid w:val="00ED79C5"/>
    <w:rsid w:val="00EE5D40"/>
    <w:rsid w:val="00EE752F"/>
    <w:rsid w:val="00EF02FA"/>
    <w:rsid w:val="00EF08B1"/>
    <w:rsid w:val="00EF3509"/>
    <w:rsid w:val="00EF66A2"/>
    <w:rsid w:val="00EF6A28"/>
    <w:rsid w:val="00EF764C"/>
    <w:rsid w:val="00F029BC"/>
    <w:rsid w:val="00F04669"/>
    <w:rsid w:val="00F046DB"/>
    <w:rsid w:val="00F12C4C"/>
    <w:rsid w:val="00F16949"/>
    <w:rsid w:val="00F17555"/>
    <w:rsid w:val="00F36E01"/>
    <w:rsid w:val="00F37B99"/>
    <w:rsid w:val="00F412C2"/>
    <w:rsid w:val="00F45ADB"/>
    <w:rsid w:val="00F503C6"/>
    <w:rsid w:val="00F51B2F"/>
    <w:rsid w:val="00F54740"/>
    <w:rsid w:val="00F55006"/>
    <w:rsid w:val="00F6194A"/>
    <w:rsid w:val="00F62E1D"/>
    <w:rsid w:val="00F64ED0"/>
    <w:rsid w:val="00F66519"/>
    <w:rsid w:val="00F7154C"/>
    <w:rsid w:val="00F71D94"/>
    <w:rsid w:val="00F728A6"/>
    <w:rsid w:val="00F765CE"/>
    <w:rsid w:val="00F85033"/>
    <w:rsid w:val="00F87A41"/>
    <w:rsid w:val="00F901EF"/>
    <w:rsid w:val="00F925D1"/>
    <w:rsid w:val="00F93FD9"/>
    <w:rsid w:val="00F97518"/>
    <w:rsid w:val="00FA0360"/>
    <w:rsid w:val="00FA155C"/>
    <w:rsid w:val="00FA1F47"/>
    <w:rsid w:val="00FA2612"/>
    <w:rsid w:val="00FA779C"/>
    <w:rsid w:val="00FB0111"/>
    <w:rsid w:val="00FB0E04"/>
    <w:rsid w:val="00FB325F"/>
    <w:rsid w:val="00FB3733"/>
    <w:rsid w:val="00FB6A5B"/>
    <w:rsid w:val="00FB7769"/>
    <w:rsid w:val="00FC0DDB"/>
    <w:rsid w:val="00FC26F5"/>
    <w:rsid w:val="00FC49EB"/>
    <w:rsid w:val="00FC5739"/>
    <w:rsid w:val="00FD534D"/>
    <w:rsid w:val="00FD6696"/>
    <w:rsid w:val="00FE215D"/>
    <w:rsid w:val="00FE5647"/>
    <w:rsid w:val="00FE7F96"/>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character" w:styleId="Hyperlink">
    <w:name w:val="Hyperlink"/>
    <w:basedOn w:val="DefaultParagraphFont"/>
    <w:uiPriority w:val="99"/>
    <w:semiHidden/>
    <w:unhideWhenUsed/>
    <w:rsid w:val="00B04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im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September%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September%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September%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September%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Sheet1!$D$26:$D$66</c:f>
              <c:numCache>
                <c:formatCode>mmm\-yy</c:formatCode>
                <c:ptCount val="41"/>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numCache>
            </c:numRef>
          </c:cat>
          <c:val>
            <c:numRef>
              <c:f>Sheet1!$E$26:$E$66</c:f>
              <c:numCache>
                <c:formatCode>0.00</c:formatCode>
                <c:ptCount val="41"/>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pt idx="39">
                  <c:v>3.7709999999999999</c:v>
                </c:pt>
                <c:pt idx="40">
                  <c:v>3.486680392156865</c:v>
                </c:pt>
              </c:numCache>
            </c:numRef>
          </c:val>
          <c:smooth val="0"/>
          <c:extLst>
            <c:ext xmlns:c16="http://schemas.microsoft.com/office/drawing/2014/chart" uri="{C3380CC4-5D6E-409C-BE32-E72D297353CC}">
              <c16:uniqueId val="{00000000-EC69-4D13-9821-6209FF9B688E}"/>
            </c:ext>
          </c:extLst>
        </c:ser>
        <c:ser>
          <c:idx val="2"/>
          <c:order val="1"/>
          <c:spPr>
            <a:ln w="31750">
              <a:solidFill>
                <a:srgbClr val="00B050"/>
              </a:solidFill>
              <a:prstDash val="sysDash"/>
            </a:ln>
          </c:spPr>
          <c:marker>
            <c:symbol val="none"/>
          </c:marker>
          <c:cat>
            <c:numRef>
              <c:f>Sheet1!$D$26:$D$66</c:f>
              <c:numCache>
                <c:formatCode>mmm\-yy</c:formatCode>
                <c:ptCount val="41"/>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EC69-4D13-9821-6209FF9B688E}"/>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majorUnit val="1"/>
        <c:major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5875">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2"/>
          <c:order val="0"/>
          <c:tx>
            <c:strRef>
              <c:f>Question3!$AM$3</c:f>
              <c:strCache>
                <c:ptCount val="1"/>
                <c:pt idx="0">
                  <c:v>Jun-20</c:v>
                </c:pt>
              </c:strCache>
            </c:strRef>
          </c:tx>
          <c:spPr>
            <a:solidFill>
              <a:srgbClr val="C0000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Question3!$AM$4:$AM$9</c:f>
              <c:numCache>
                <c:formatCode>0.0%</c:formatCode>
                <c:ptCount val="6"/>
                <c:pt idx="0">
                  <c:v>0.10100000000000001</c:v>
                </c:pt>
                <c:pt idx="1">
                  <c:v>0.2</c:v>
                </c:pt>
                <c:pt idx="2">
                  <c:v>0.1263</c:v>
                </c:pt>
                <c:pt idx="3">
                  <c:v>0.2175</c:v>
                </c:pt>
                <c:pt idx="4">
                  <c:v>0.16489999999999999</c:v>
                </c:pt>
                <c:pt idx="5">
                  <c:v>0.19650000000000001</c:v>
                </c:pt>
              </c:numCache>
            </c:numRef>
          </c:val>
          <c:extLst>
            <c:ext xmlns:c16="http://schemas.microsoft.com/office/drawing/2014/chart" uri="{C3380CC4-5D6E-409C-BE32-E72D297353CC}">
              <c16:uniqueId val="{00000000-B98C-4DA1-B6A4-0435B42B413E}"/>
            </c:ext>
          </c:extLst>
        </c:ser>
        <c:ser>
          <c:idx val="3"/>
          <c:order val="1"/>
          <c:tx>
            <c:strRef>
              <c:f>Question3!$AN$3</c:f>
              <c:strCache>
                <c:ptCount val="1"/>
                <c:pt idx="0">
                  <c:v>Jul-20</c:v>
                </c:pt>
              </c:strCache>
            </c:strRef>
          </c:tx>
          <c:invertIfNegative val="0"/>
          <c:dLbls>
            <c:dLbl>
              <c:idx val="3"/>
              <c:layout>
                <c:manualLayout>
                  <c:x val="7.4211502782931356E-3"/>
                  <c:y val="4.255319148936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8C-4DA1-B6A4-0435B42B413E}"/>
                </c:ext>
              </c:extLst>
            </c:dLbl>
            <c:dLbl>
              <c:idx val="4"/>
              <c:layout>
                <c:manualLayout>
                  <c:x val="0"/>
                  <c:y val="1.89125295508274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8C-4DA1-B6A4-0435B42B413E}"/>
                </c:ext>
              </c:extLst>
            </c:dLbl>
            <c:dLbl>
              <c:idx val="5"/>
              <c:layout>
                <c:manualLayout>
                  <c:x val="7.42115027829313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8C-4DA1-B6A4-0435B42B413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Question3!$AN$4:$AN$9</c:f>
              <c:numCache>
                <c:formatCode>0.0%</c:formatCode>
                <c:ptCount val="6"/>
                <c:pt idx="0">
                  <c:v>0.13739999999999999</c:v>
                </c:pt>
                <c:pt idx="1">
                  <c:v>0.1784</c:v>
                </c:pt>
                <c:pt idx="2">
                  <c:v>0.16669999999999999</c:v>
                </c:pt>
                <c:pt idx="3">
                  <c:v>0.20710000000000001</c:v>
                </c:pt>
                <c:pt idx="4">
                  <c:v>0.155</c:v>
                </c:pt>
                <c:pt idx="5">
                  <c:v>0.155</c:v>
                </c:pt>
              </c:numCache>
            </c:numRef>
          </c:val>
          <c:extLst>
            <c:ext xmlns:c16="http://schemas.microsoft.com/office/drawing/2014/chart" uri="{C3380CC4-5D6E-409C-BE32-E72D297353CC}">
              <c16:uniqueId val="{00000001-B98C-4DA1-B6A4-0435B42B413E}"/>
            </c:ext>
          </c:extLst>
        </c:ser>
        <c:ser>
          <c:idx val="4"/>
          <c:order val="2"/>
          <c:tx>
            <c:strRef>
              <c:f>Question3!$AO$3</c:f>
              <c:strCache>
                <c:ptCount val="1"/>
                <c:pt idx="0">
                  <c:v>Aug-20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Question3!$AO$4:$AO$9</c:f>
              <c:numCache>
                <c:formatCode>0.0%</c:formatCode>
                <c:ptCount val="6"/>
                <c:pt idx="0">
                  <c:v>0.1646586345381526</c:v>
                </c:pt>
                <c:pt idx="1">
                  <c:v>0.11646586345381527</c:v>
                </c:pt>
                <c:pt idx="2">
                  <c:v>0.19678714859437751</c:v>
                </c:pt>
                <c:pt idx="3">
                  <c:v>0.23694779116465864</c:v>
                </c:pt>
                <c:pt idx="4">
                  <c:v>0.17269076305220885</c:v>
                </c:pt>
                <c:pt idx="5">
                  <c:v>0.11244979919678715</c:v>
                </c:pt>
              </c:numCache>
            </c:numRef>
          </c:val>
          <c:extLst>
            <c:ext xmlns:c16="http://schemas.microsoft.com/office/drawing/2014/chart" uri="{C3380CC4-5D6E-409C-BE32-E72D297353CC}">
              <c16:uniqueId val="{00000002-B98C-4DA1-B6A4-0435B42B413E}"/>
            </c:ext>
          </c:extLst>
        </c:ser>
        <c:ser>
          <c:idx val="5"/>
          <c:order val="3"/>
          <c:tx>
            <c:strRef>
              <c:f>Question3!$AP$3</c:f>
              <c:strCache>
                <c:ptCount val="1"/>
                <c:pt idx="0">
                  <c:v>Sep-20</c:v>
                </c:pt>
              </c:strCache>
            </c:strRef>
          </c:tx>
          <c:spPr>
            <a:solidFill>
              <a:srgbClr val="00B050"/>
            </a:solidFill>
          </c:spPr>
          <c:invertIfNegative val="0"/>
          <c:dLbls>
            <c:dLbl>
              <c:idx val="0"/>
              <c:layout>
                <c:manualLayout>
                  <c:x val="2.2263450834879406E-2"/>
                  <c:y val="4.7281323877068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8C-4DA1-B6A4-0435B42B413E}"/>
                </c:ext>
              </c:extLst>
            </c:dLbl>
            <c:dLbl>
              <c:idx val="1"/>
              <c:layout>
                <c:manualLayout>
                  <c:x val="1.9789734075448363E-2"/>
                  <c:y val="9.4562647754137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8C-4DA1-B6A4-0435B42B413E}"/>
                </c:ext>
              </c:extLst>
            </c:dLbl>
            <c:dLbl>
              <c:idx val="2"/>
              <c:layout>
                <c:manualLayout>
                  <c:x val="1.4842300556586271E-2"/>
                  <c:y val="1.8912529550827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8C-4DA1-B6A4-0435B42B413E}"/>
                </c:ext>
              </c:extLst>
            </c:dLbl>
            <c:dLbl>
              <c:idx val="4"/>
              <c:layout>
                <c:manualLayout>
                  <c:x val="1.4842300556586271E-2"/>
                  <c:y val="-4.33407128783659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8C-4DA1-B6A4-0435B42B413E}"/>
                </c:ext>
              </c:extLst>
            </c:dLbl>
            <c:dLbl>
              <c:idx val="5"/>
              <c:layout>
                <c:manualLayout>
                  <c:x val="9.8948670377241813E-3"/>
                  <c:y val="1.4184397163120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8C-4DA1-B6A4-0435B42B413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Question3!$AP$4:$AP$9</c:f>
              <c:numCache>
                <c:formatCode>0.0%</c:formatCode>
                <c:ptCount val="6"/>
                <c:pt idx="0">
                  <c:v>0.16549295774647887</c:v>
                </c:pt>
                <c:pt idx="1">
                  <c:v>0.12323943661971831</c:v>
                </c:pt>
                <c:pt idx="2">
                  <c:v>0.17253521126760563</c:v>
                </c:pt>
                <c:pt idx="3">
                  <c:v>0.26056338028169013</c:v>
                </c:pt>
                <c:pt idx="4">
                  <c:v>0.16901408450704225</c:v>
                </c:pt>
                <c:pt idx="5">
                  <c:v>0.10563380281690141</c:v>
                </c:pt>
              </c:numCache>
            </c:numRef>
          </c:val>
          <c:extLst>
            <c:ext xmlns:c16="http://schemas.microsoft.com/office/drawing/2014/chart" uri="{C3380CC4-5D6E-409C-BE32-E72D297353CC}">
              <c16:uniqueId val="{00000003-B98C-4DA1-B6A4-0435B42B413E}"/>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6.476385257037677E-2"/>
          <c:y val="6.3846912752927157E-2"/>
          <c:w val="0.47623371753855442"/>
          <c:h val="0.1013994527279834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1"/>
          <c:order val="0"/>
          <c:tx>
            <c:strRef>
              <c:f>'Question 2'!$AL$3</c:f>
              <c:strCache>
                <c:ptCount val="1"/>
                <c:pt idx="0">
                  <c:v>Jun-20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2'!$AL$4:$AL$8</c:f>
              <c:numCache>
                <c:formatCode>0.0%</c:formatCode>
                <c:ptCount val="5"/>
                <c:pt idx="0">
                  <c:v>0.71089999999999998</c:v>
                </c:pt>
                <c:pt idx="1">
                  <c:v>0.20349999999999999</c:v>
                </c:pt>
                <c:pt idx="2">
                  <c:v>4.2099999999999999E-2</c:v>
                </c:pt>
                <c:pt idx="3">
                  <c:v>2.81E-2</c:v>
                </c:pt>
                <c:pt idx="4">
                  <c:v>1.7500000000000002E-2</c:v>
                </c:pt>
              </c:numCache>
            </c:numRef>
          </c:val>
          <c:extLst>
            <c:ext xmlns:c16="http://schemas.microsoft.com/office/drawing/2014/chart" uri="{C3380CC4-5D6E-409C-BE32-E72D297353CC}">
              <c16:uniqueId val="{00000000-58F9-43BA-BFE0-AF33B3B68619}"/>
            </c:ext>
          </c:extLst>
        </c:ser>
        <c:ser>
          <c:idx val="2"/>
          <c:order val="1"/>
          <c:tx>
            <c:strRef>
              <c:f>'Question 2'!$AM$3</c:f>
              <c:strCache>
                <c:ptCount val="1"/>
                <c:pt idx="0">
                  <c:v>Jul-20</c:v>
                </c:pt>
              </c:strCache>
            </c:strRef>
          </c:tx>
          <c:spPr>
            <a:solidFill>
              <a:srgbClr val="FF0000"/>
            </a:solidFill>
          </c:spPr>
          <c:invertIfNegative val="0"/>
          <c:dLbls>
            <c:dLbl>
              <c:idx val="1"/>
              <c:layout>
                <c:manualLayout>
                  <c:x val="-4.4043535249366465E-17"/>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F9-43BA-BFE0-AF33B3B686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2'!$AM$4:$AM$8</c:f>
              <c:numCache>
                <c:formatCode>0.0%</c:formatCode>
                <c:ptCount val="5"/>
                <c:pt idx="0">
                  <c:v>0.65790000000000004</c:v>
                </c:pt>
                <c:pt idx="1">
                  <c:v>0.193</c:v>
                </c:pt>
                <c:pt idx="2">
                  <c:v>9.06E-2</c:v>
                </c:pt>
                <c:pt idx="3">
                  <c:v>4.3900000000000002E-2</c:v>
                </c:pt>
                <c:pt idx="4">
                  <c:v>1.46E-2</c:v>
                </c:pt>
              </c:numCache>
            </c:numRef>
          </c:val>
          <c:extLst>
            <c:ext xmlns:c16="http://schemas.microsoft.com/office/drawing/2014/chart" uri="{C3380CC4-5D6E-409C-BE32-E72D297353CC}">
              <c16:uniqueId val="{00000001-58F9-43BA-BFE0-AF33B3B68619}"/>
            </c:ext>
          </c:extLst>
        </c:ser>
        <c:ser>
          <c:idx val="3"/>
          <c:order val="2"/>
          <c:tx>
            <c:strRef>
              <c:f>'Question 2'!$AN$3</c:f>
              <c:strCache>
                <c:ptCount val="1"/>
                <c:pt idx="0">
                  <c:v>Aug-20</c:v>
                </c:pt>
              </c:strCache>
            </c:strRef>
          </c:tx>
          <c:invertIfNegative val="0"/>
          <c:dLbls>
            <c:dLbl>
              <c:idx val="0"/>
              <c:layout>
                <c:manualLayout>
                  <c:x val="4.8048048048047829E-3"/>
                  <c:y val="1.1544011544011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F9-43BA-BFE0-AF33B3B686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2'!$AN$4:$AN$8</c:f>
              <c:numCache>
                <c:formatCode>0.0%</c:formatCode>
                <c:ptCount val="5"/>
                <c:pt idx="0">
                  <c:v>0.59036144578313254</c:v>
                </c:pt>
                <c:pt idx="1">
                  <c:v>0.2289156626506024</c:v>
                </c:pt>
                <c:pt idx="2">
                  <c:v>0.12048192771084337</c:v>
                </c:pt>
                <c:pt idx="3">
                  <c:v>4.4176706827309238E-2</c:v>
                </c:pt>
                <c:pt idx="4">
                  <c:v>1.6064257028112448E-2</c:v>
                </c:pt>
              </c:numCache>
            </c:numRef>
          </c:val>
          <c:extLst>
            <c:ext xmlns:c16="http://schemas.microsoft.com/office/drawing/2014/chart" uri="{C3380CC4-5D6E-409C-BE32-E72D297353CC}">
              <c16:uniqueId val="{00000002-58F9-43BA-BFE0-AF33B3B68619}"/>
            </c:ext>
          </c:extLst>
        </c:ser>
        <c:ser>
          <c:idx val="5"/>
          <c:order val="3"/>
          <c:tx>
            <c:strRef>
              <c:f>'Question 2'!$AO$3</c:f>
              <c:strCache>
                <c:ptCount val="1"/>
                <c:pt idx="0">
                  <c:v>Sep-20</c:v>
                </c:pt>
              </c:strCache>
            </c:strRef>
          </c:tx>
          <c:spPr>
            <a:solidFill>
              <a:srgbClr val="00B050"/>
            </a:solidFill>
          </c:spPr>
          <c:invertIfNegative val="0"/>
          <c:dLbls>
            <c:dLbl>
              <c:idx val="0"/>
              <c:layout>
                <c:manualLayout>
                  <c:x val="1.2012012012012012E-2"/>
                  <c:y val="1.1544011544011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F9-43BA-BFE0-AF33B3B68619}"/>
                </c:ext>
              </c:extLst>
            </c:dLbl>
            <c:dLbl>
              <c:idx val="1"/>
              <c:layout>
                <c:manualLayout>
                  <c:x val="9.60960960960956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F9-43BA-BFE0-AF33B3B6861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2'!$AO$4:$AO$8</c:f>
              <c:numCache>
                <c:formatCode>0.0%</c:formatCode>
                <c:ptCount val="5"/>
                <c:pt idx="0">
                  <c:v>0.5053003533568905</c:v>
                </c:pt>
                <c:pt idx="1">
                  <c:v>0.25441696113074203</c:v>
                </c:pt>
                <c:pt idx="2">
                  <c:v>0.18021201413427562</c:v>
                </c:pt>
                <c:pt idx="3">
                  <c:v>4.5936395759717315E-2</c:v>
                </c:pt>
                <c:pt idx="4">
                  <c:v>1.4134275618374558E-2</c:v>
                </c:pt>
              </c:numCache>
            </c:numRef>
          </c:val>
          <c:extLst>
            <c:ext xmlns:c16="http://schemas.microsoft.com/office/drawing/2014/chart" uri="{C3380CC4-5D6E-409C-BE32-E72D297353CC}">
              <c16:uniqueId val="{00000003-58F9-43BA-BFE0-AF33B3B68619}"/>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3112749912603419"/>
          <c:h val="0.31415135608048994"/>
        </c:manualLayout>
      </c:layout>
      <c:overlay val="0"/>
    </c:legend>
    <c:plotVisOnly val="1"/>
    <c:dispBlanksAs val="gap"/>
    <c:showDLblsOverMax val="0"/>
  </c:chart>
  <c:spPr>
    <a:ln w="15875">
      <a:solidFill>
        <a:srgbClr val="00B0F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5"/>
          <c:order val="0"/>
          <c:tx>
            <c:strRef>
              <c:f>Question1!$AL$3</c:f>
              <c:strCache>
                <c:ptCount val="1"/>
                <c:pt idx="0">
                  <c:v>Jun-20</c:v>
                </c:pt>
              </c:strCache>
            </c:strRef>
          </c:tx>
          <c:invertIfNegative val="0"/>
          <c:dLbls>
            <c:dLbl>
              <c:idx val="1"/>
              <c:layout>
                <c:manualLayout>
                  <c:x val="0"/>
                  <c:y val="1.423487544483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C1-42A3-9FE3-F95720435DBD}"/>
                </c:ext>
              </c:extLst>
            </c:dLbl>
            <c:dLbl>
              <c:idx val="2"/>
              <c:layout>
                <c:manualLayout>
                  <c:x val="-2.2836263987211693E-3"/>
                  <c:y val="1.8979833926453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C1-42A3-9FE3-F95720435DB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Question1!$AL$4:$AL$8</c:f>
              <c:numCache>
                <c:formatCode>0.0%</c:formatCode>
                <c:ptCount val="5"/>
                <c:pt idx="0">
                  <c:v>0.68159999999999998</c:v>
                </c:pt>
                <c:pt idx="1">
                  <c:v>0.18329999999999999</c:v>
                </c:pt>
                <c:pt idx="2">
                  <c:v>0.1053</c:v>
                </c:pt>
                <c:pt idx="3">
                  <c:v>2.1100000000000001E-2</c:v>
                </c:pt>
                <c:pt idx="4">
                  <c:v>1.0500000000000001E-2</c:v>
                </c:pt>
              </c:numCache>
            </c:numRef>
          </c:val>
          <c:extLst>
            <c:ext xmlns:c16="http://schemas.microsoft.com/office/drawing/2014/chart" uri="{C3380CC4-5D6E-409C-BE32-E72D297353CC}">
              <c16:uniqueId val="{00000000-43C1-42A3-9FE3-F95720435DBD}"/>
            </c:ext>
          </c:extLst>
        </c:ser>
        <c:ser>
          <c:idx val="0"/>
          <c:order val="1"/>
          <c:tx>
            <c:strRef>
              <c:f>Question1!$AM$3</c:f>
              <c:strCache>
                <c:ptCount val="1"/>
                <c:pt idx="0">
                  <c:v>Jul-20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Question1!$AM$4:$AM$8</c:f>
              <c:numCache>
                <c:formatCode>0.0%</c:formatCode>
                <c:ptCount val="5"/>
                <c:pt idx="0">
                  <c:v>0.62280000000000002</c:v>
                </c:pt>
                <c:pt idx="1">
                  <c:v>0.21049999999999999</c:v>
                </c:pt>
                <c:pt idx="2">
                  <c:v>0.13159999999999999</c:v>
                </c:pt>
                <c:pt idx="3">
                  <c:v>2.3400000000000001E-2</c:v>
                </c:pt>
                <c:pt idx="4">
                  <c:v>1.17E-2</c:v>
                </c:pt>
              </c:numCache>
            </c:numRef>
          </c:val>
          <c:extLst>
            <c:ext xmlns:c16="http://schemas.microsoft.com/office/drawing/2014/chart" uri="{C3380CC4-5D6E-409C-BE32-E72D297353CC}">
              <c16:uniqueId val="{00000001-43C1-42A3-9FE3-F95720435DBD}"/>
            </c:ext>
          </c:extLst>
        </c:ser>
        <c:ser>
          <c:idx val="1"/>
          <c:order val="2"/>
          <c:tx>
            <c:strRef>
              <c:f>Question1!$AN$3</c:f>
              <c:strCache>
                <c:ptCount val="1"/>
                <c:pt idx="0">
                  <c:v>Aug-20</c:v>
                </c:pt>
              </c:strCache>
            </c:strRef>
          </c:tx>
          <c:spPr>
            <a:solidFill>
              <a:srgbClr val="FFC000"/>
            </a:solidFill>
          </c:spPr>
          <c:invertIfNegative val="0"/>
          <c:dLbls>
            <c:dLbl>
              <c:idx val="2"/>
              <c:layout>
                <c:manualLayout>
                  <c:x val="0"/>
                  <c:y val="2.3724792408066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C1-42A3-9FE3-F95720435DB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Question1!$AN$4:$AN$8</c:f>
              <c:numCache>
                <c:formatCode>0.0%</c:formatCode>
                <c:ptCount val="5"/>
                <c:pt idx="0">
                  <c:v>0.5714285714285714</c:v>
                </c:pt>
                <c:pt idx="1">
                  <c:v>0.25793650793650796</c:v>
                </c:pt>
                <c:pt idx="2">
                  <c:v>0.11507936507936507</c:v>
                </c:pt>
                <c:pt idx="3">
                  <c:v>4.3650793650793648E-2</c:v>
                </c:pt>
                <c:pt idx="4">
                  <c:v>1.1904761904761904E-2</c:v>
                </c:pt>
              </c:numCache>
            </c:numRef>
          </c:val>
          <c:extLst>
            <c:ext xmlns:c16="http://schemas.microsoft.com/office/drawing/2014/chart" uri="{C3380CC4-5D6E-409C-BE32-E72D297353CC}">
              <c16:uniqueId val="{00000002-43C1-42A3-9FE3-F95720435DBD}"/>
            </c:ext>
          </c:extLst>
        </c:ser>
        <c:ser>
          <c:idx val="4"/>
          <c:order val="3"/>
          <c:tx>
            <c:strRef>
              <c:f>Question1!$AO$3</c:f>
              <c:strCache>
                <c:ptCount val="1"/>
                <c:pt idx="0">
                  <c:v>Sep-20</c:v>
                </c:pt>
              </c:strCache>
            </c:strRef>
          </c:tx>
          <c:spPr>
            <a:solidFill>
              <a:srgbClr val="FF0000"/>
            </a:solidFill>
          </c:spPr>
          <c:invertIfNegative val="0"/>
          <c:dLbls>
            <c:dLbl>
              <c:idx val="0"/>
              <c:layout>
                <c:manualLayout>
                  <c:x val="9.134505594884719E-3"/>
                  <c:y val="1.4234875444839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C1-42A3-9FE3-F95720435DBD}"/>
                </c:ext>
              </c:extLst>
            </c:dLbl>
            <c:dLbl>
              <c:idx val="1"/>
              <c:layout>
                <c:manualLayout>
                  <c:x val="1.82690111897693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C1-42A3-9FE3-F95720435DB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Question1!$AO$4:$AO$8</c:f>
              <c:numCache>
                <c:formatCode>0.0%</c:formatCode>
                <c:ptCount val="5"/>
                <c:pt idx="0">
                  <c:v>0.53521126760563376</c:v>
                </c:pt>
                <c:pt idx="1">
                  <c:v>0.25704225352112675</c:v>
                </c:pt>
                <c:pt idx="2">
                  <c:v>0.15140845070422534</c:v>
                </c:pt>
                <c:pt idx="3">
                  <c:v>3.873239436619718E-2</c:v>
                </c:pt>
                <c:pt idx="4">
                  <c:v>1.7605633802816902E-2</c:v>
                </c:pt>
              </c:numCache>
            </c:numRef>
          </c:val>
          <c:extLst>
            <c:ext xmlns:c16="http://schemas.microsoft.com/office/drawing/2014/chart" uri="{C3380CC4-5D6E-409C-BE32-E72D297353CC}">
              <c16:uniqueId val="{00000003-43C1-42A3-9FE3-F95720435DBD}"/>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spPr>
        <a:ln>
          <a:solidFill>
            <a:srgbClr val="00B0F0"/>
          </a:solidFill>
        </a:ln>
      </c:spPr>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3FAA-1B4D-45C2-9B03-3FBADB02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8</cp:revision>
  <cp:lastPrinted>2020-11-02T09:43:00Z</cp:lastPrinted>
  <dcterms:created xsi:type="dcterms:W3CDTF">2020-11-02T06:54:00Z</dcterms:created>
  <dcterms:modified xsi:type="dcterms:W3CDTF">2020-11-02T10:18:00Z</dcterms:modified>
</cp:coreProperties>
</file>