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356EF" w14:textId="77777777" w:rsidR="001C590E" w:rsidRDefault="001C590E" w:rsidP="00334E6D">
      <w:pPr>
        <w:spacing w:line="276" w:lineRule="auto"/>
        <w:jc w:val="center"/>
        <w:rPr>
          <w:rStyle w:val="IntenseReference"/>
          <w:rFonts w:asciiTheme="minorHAnsi" w:eastAsiaTheme="minorEastAsia" w:hAnsiTheme="minorHAnsi" w:cstheme="minorBidi"/>
          <w:color w:val="44546A" w:themeColor="text2"/>
          <w:sz w:val="22"/>
          <w:szCs w:val="24"/>
          <w:lang w:val="en-US" w:eastAsia="en-US" w:bidi="hi-IN"/>
        </w:rPr>
      </w:pPr>
      <w:r w:rsidRPr="00A3760A">
        <w:rPr>
          <w:rStyle w:val="IntenseReference"/>
          <w:noProof/>
          <w:color w:val="44546A" w:themeColor="text2"/>
          <w:szCs w:val="24"/>
        </w:rPr>
        <w:drawing>
          <wp:anchor distT="0" distB="0" distL="114300" distR="114300" simplePos="0" relativeHeight="251658240" behindDoc="0" locked="0" layoutInCell="1" allowOverlap="1" wp14:anchorId="30BAD7D4" wp14:editId="4352004D">
            <wp:simplePos x="0" y="0"/>
            <wp:positionH relativeFrom="margin">
              <wp:posOffset>2406650</wp:posOffset>
            </wp:positionH>
            <wp:positionV relativeFrom="margin">
              <wp:posOffset>-361315</wp:posOffset>
            </wp:positionV>
            <wp:extent cx="902335" cy="908685"/>
            <wp:effectExtent l="0" t="0" r="0" b="571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908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673290" w14:textId="77777777" w:rsidR="004708D6" w:rsidRDefault="004708D6" w:rsidP="00334E6D">
      <w:pPr>
        <w:spacing w:line="276" w:lineRule="auto"/>
        <w:jc w:val="center"/>
        <w:rPr>
          <w:rFonts w:ascii="Times New Roman" w:eastAsia="Times New Roman" w:hAnsi="Times New Roman" w:cs="Times New Roman"/>
          <w:color w:val="263238"/>
          <w:sz w:val="26"/>
          <w:szCs w:val="26"/>
          <w:u w:val="single"/>
          <w:shd w:val="clear" w:color="auto" w:fill="FFFFFF"/>
        </w:rPr>
      </w:pPr>
    </w:p>
    <w:p w14:paraId="697505FB" w14:textId="11864DE6" w:rsidR="001C590E" w:rsidRPr="004708D6" w:rsidRDefault="001C590E" w:rsidP="00334E6D">
      <w:pPr>
        <w:spacing w:line="276" w:lineRule="auto"/>
        <w:jc w:val="center"/>
        <w:rPr>
          <w:rFonts w:ascii="Times New Roman" w:eastAsia="Times New Roman" w:hAnsi="Times New Roman" w:cs="Times New Roman"/>
          <w:color w:val="263238"/>
          <w:sz w:val="26"/>
          <w:szCs w:val="26"/>
          <w:u w:val="single"/>
          <w:shd w:val="clear" w:color="auto" w:fill="FFFFFF"/>
        </w:rPr>
      </w:pPr>
      <w:r w:rsidRPr="004708D6">
        <w:rPr>
          <w:rFonts w:ascii="Times New Roman" w:eastAsia="Times New Roman" w:hAnsi="Times New Roman" w:cs="Times New Roman"/>
          <w:color w:val="263238"/>
          <w:sz w:val="26"/>
          <w:szCs w:val="26"/>
          <w:u w:val="single"/>
          <w:shd w:val="clear" w:color="auto" w:fill="FFFFFF"/>
        </w:rPr>
        <w:t>Press Release</w:t>
      </w:r>
    </w:p>
    <w:p w14:paraId="4FCE45D3" w14:textId="40F64D25" w:rsidR="00ED1CAE" w:rsidRPr="00334E6D" w:rsidRDefault="00ED1CAE">
      <w:pPr>
        <w:spacing w:line="276" w:lineRule="auto"/>
        <w:jc w:val="center"/>
        <w:rPr>
          <w:rFonts w:ascii="Times New Roman" w:hAnsi="Times New Roman" w:cs="Times New Roman"/>
          <w:w w:val="95"/>
          <w:sz w:val="28"/>
          <w:szCs w:val="28"/>
        </w:rPr>
      </w:pPr>
      <w:r w:rsidRPr="00334E6D">
        <w:rPr>
          <w:rFonts w:ascii="Times New Roman" w:hAnsi="Times New Roman" w:cs="Times New Roman"/>
          <w:w w:val="95"/>
          <w:sz w:val="28"/>
          <w:szCs w:val="28"/>
        </w:rPr>
        <w:t xml:space="preserve">IIMA </w:t>
      </w:r>
      <w:proofErr w:type="spellStart"/>
      <w:r w:rsidRPr="00334E6D">
        <w:rPr>
          <w:rFonts w:ascii="Times New Roman" w:hAnsi="Times New Roman" w:cs="Times New Roman"/>
          <w:w w:val="95"/>
          <w:sz w:val="28"/>
          <w:szCs w:val="28"/>
        </w:rPr>
        <w:t>Misra</w:t>
      </w:r>
      <w:proofErr w:type="spellEnd"/>
      <w:r w:rsidRPr="00334E6D">
        <w:rPr>
          <w:rFonts w:ascii="Times New Roman" w:hAnsi="Times New Roman" w:cs="Times New Roman"/>
          <w:w w:val="95"/>
          <w:sz w:val="28"/>
          <w:szCs w:val="28"/>
        </w:rPr>
        <w:t xml:space="preserve"> Centre for FME undertook</w:t>
      </w:r>
      <w:r w:rsidR="00E13BCE" w:rsidRPr="00334E6D">
        <w:rPr>
          <w:rStyle w:val="FootnoteReference"/>
          <w:rFonts w:ascii="Times New Roman" w:hAnsi="Times New Roman" w:cs="Times New Roman"/>
          <w:w w:val="95"/>
          <w:sz w:val="28"/>
          <w:szCs w:val="28"/>
        </w:rPr>
        <w:footnoteReference w:id="1"/>
      </w:r>
      <w:r w:rsidRPr="00334E6D">
        <w:rPr>
          <w:rFonts w:ascii="Times New Roman" w:hAnsi="Times New Roman" w:cs="Times New Roman"/>
          <w:w w:val="95"/>
          <w:sz w:val="28"/>
          <w:szCs w:val="28"/>
        </w:rPr>
        <w:t xml:space="preserve"> a study</w:t>
      </w:r>
      <w:r w:rsidR="00B81BA8" w:rsidRPr="00334E6D">
        <w:rPr>
          <w:rFonts w:ascii="Times New Roman" w:hAnsi="Times New Roman" w:cs="Times New Roman"/>
          <w:w w:val="95"/>
          <w:sz w:val="28"/>
          <w:szCs w:val="28"/>
        </w:rPr>
        <w:t xml:space="preserve">: </w:t>
      </w:r>
      <w:r w:rsidR="00AA67A0" w:rsidRPr="00334E6D">
        <w:rPr>
          <w:rFonts w:ascii="Times New Roman" w:hAnsi="Times New Roman" w:cs="Times New Roman"/>
          <w:sz w:val="28"/>
          <w:szCs w:val="28"/>
        </w:rPr>
        <w:t>The Implications of Economic Uncertainty for Bank Loan Portfolios</w:t>
      </w:r>
    </w:p>
    <w:p w14:paraId="4E9DFAB2" w14:textId="3EEB7B7E" w:rsidR="00CD189C" w:rsidRDefault="00603E96" w:rsidP="00334E6D">
      <w:pPr>
        <w:spacing w:after="259" w:line="276" w:lineRule="auto"/>
        <w:ind w:left="0" w:firstLine="0"/>
        <w:rPr>
          <w:color w:val="1C1E29"/>
        </w:rPr>
      </w:pPr>
      <w:r>
        <w:rPr>
          <w:rFonts w:ascii="Times New Roman" w:hAnsi="Times New Roman" w:cs="Times New Roman"/>
          <w:b/>
          <w:color w:val="222222"/>
          <w:szCs w:val="24"/>
          <w:shd w:val="clear" w:color="auto" w:fill="FFFFFF"/>
        </w:rPr>
        <w:t>October</w:t>
      </w:r>
      <w:r w:rsidR="00DC5D56" w:rsidRPr="00AB144A">
        <w:rPr>
          <w:rFonts w:ascii="Times New Roman" w:hAnsi="Times New Roman" w:cs="Times New Roman"/>
          <w:b/>
          <w:color w:val="222222"/>
          <w:szCs w:val="24"/>
          <w:shd w:val="clear" w:color="auto" w:fill="FFFFFF"/>
        </w:rPr>
        <w:t xml:space="preserve"> </w:t>
      </w:r>
      <w:r w:rsidR="00D47E96">
        <w:rPr>
          <w:rFonts w:ascii="Times New Roman" w:hAnsi="Times New Roman" w:cs="Times New Roman"/>
          <w:b/>
          <w:color w:val="222222"/>
          <w:szCs w:val="24"/>
          <w:shd w:val="clear" w:color="auto" w:fill="FFFFFF"/>
        </w:rPr>
        <w:t>20</w:t>
      </w:r>
      <w:r>
        <w:rPr>
          <w:rFonts w:ascii="Times New Roman" w:hAnsi="Times New Roman" w:cs="Times New Roman"/>
          <w:b/>
          <w:color w:val="222222"/>
          <w:szCs w:val="24"/>
          <w:shd w:val="clear" w:color="auto" w:fill="FFFFFF"/>
        </w:rPr>
        <w:t>, 2020</w:t>
      </w:r>
      <w:r w:rsidR="00104897">
        <w:rPr>
          <w:rFonts w:ascii="Times New Roman" w:hAnsi="Times New Roman" w:cs="Times New Roman"/>
          <w:b/>
          <w:color w:val="222222"/>
          <w:szCs w:val="24"/>
          <w:shd w:val="clear" w:color="auto" w:fill="FFFFFF"/>
        </w:rPr>
        <w:t xml:space="preserve"> |</w:t>
      </w:r>
      <w:r w:rsidR="00CD189C" w:rsidRPr="00AB144A">
        <w:rPr>
          <w:rFonts w:ascii="Times New Roman" w:hAnsi="Times New Roman" w:cs="Times New Roman"/>
          <w:b/>
          <w:color w:val="222222"/>
          <w:szCs w:val="24"/>
          <w:shd w:val="clear" w:color="auto" w:fill="FFFFFF"/>
        </w:rPr>
        <w:t xml:space="preserve"> Ahmedabad:</w:t>
      </w:r>
      <w:r w:rsidR="00CD189C">
        <w:rPr>
          <w:color w:val="222222"/>
          <w:shd w:val="clear" w:color="auto" w:fill="FFFFFF"/>
        </w:rPr>
        <w:t xml:space="preserve"> </w:t>
      </w:r>
      <w:r w:rsidR="00CD189C">
        <w:rPr>
          <w:color w:val="1C1E29"/>
        </w:rPr>
        <w:t> </w:t>
      </w:r>
    </w:p>
    <w:p w14:paraId="0EEAE878" w14:textId="77777777" w:rsidR="00CD189C" w:rsidRPr="00334E6D" w:rsidRDefault="00CD189C" w:rsidP="00334E6D">
      <w:pPr>
        <w:spacing w:after="0" w:line="276" w:lineRule="auto"/>
        <w:rPr>
          <w:rFonts w:ascii="Times New Roman" w:hAnsi="Times New Roman" w:cs="Times New Roman"/>
          <w:b/>
          <w:color w:val="1F4E79" w:themeColor="accent5" w:themeShade="80"/>
          <w:szCs w:val="24"/>
          <w:lang w:val="en-GB"/>
        </w:rPr>
      </w:pPr>
      <w:r w:rsidRPr="00334E6D">
        <w:rPr>
          <w:rFonts w:ascii="Times New Roman" w:hAnsi="Times New Roman" w:cs="Times New Roman"/>
          <w:b/>
          <w:color w:val="1F4E79" w:themeColor="accent5" w:themeShade="80"/>
          <w:szCs w:val="24"/>
          <w:lang w:val="en-GB"/>
        </w:rPr>
        <w:t>SUMMARY:</w:t>
      </w:r>
    </w:p>
    <w:p w14:paraId="0AB1F09D" w14:textId="5310EB26" w:rsidR="007A5BEB" w:rsidRDefault="00B81BA8" w:rsidP="00334E6D">
      <w:pPr>
        <w:spacing w:before="240" w:after="0" w:line="276" w:lineRule="auto"/>
        <w:ind w:left="11" w:right="227" w:hanging="1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A recent study by researchers from the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Misra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Centre </w:t>
      </w:r>
      <w:r w:rsidR="00FC677E">
        <w:rPr>
          <w:rFonts w:ascii="Times New Roman" w:eastAsia="Times New Roman" w:hAnsi="Times New Roman" w:cs="Times New Roman"/>
          <w:lang w:eastAsia="en-GB"/>
        </w:rPr>
        <w:t xml:space="preserve">of Financial Markets and Economy </w:t>
      </w:r>
      <w:r>
        <w:rPr>
          <w:rFonts w:ascii="Times New Roman" w:eastAsia="Times New Roman" w:hAnsi="Times New Roman" w:cs="Times New Roman"/>
          <w:lang w:eastAsia="en-GB"/>
        </w:rPr>
        <w:t xml:space="preserve">at IIMA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analy</w:t>
      </w:r>
      <w:r w:rsidR="00380014">
        <w:rPr>
          <w:rFonts w:ascii="Times New Roman" w:eastAsia="Times New Roman" w:hAnsi="Times New Roman" w:cs="Times New Roman"/>
          <w:lang w:eastAsia="en-GB"/>
        </w:rPr>
        <w:t>z</w:t>
      </w:r>
      <w:r>
        <w:rPr>
          <w:rFonts w:ascii="Times New Roman" w:eastAsia="Times New Roman" w:hAnsi="Times New Roman" w:cs="Times New Roman"/>
          <w:lang w:eastAsia="en-GB"/>
        </w:rPr>
        <w:t>ed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r w:rsidRPr="00B81BA8">
        <w:rPr>
          <w:rFonts w:ascii="Times New Roman" w:eastAsia="Times New Roman" w:hAnsi="Times New Roman" w:cs="Times New Roman"/>
          <w:lang w:eastAsia="en-GB"/>
        </w:rPr>
        <w:t>the impact of economic uncertainty on the composition of bank</w:t>
      </w:r>
      <w:r>
        <w:rPr>
          <w:rFonts w:ascii="Times New Roman" w:eastAsia="Times New Roman" w:hAnsi="Times New Roman" w:cs="Times New Roman"/>
          <w:lang w:eastAsia="en-GB"/>
        </w:rPr>
        <w:t xml:space="preserve"> credit across </w:t>
      </w:r>
      <w:r w:rsidR="00380014">
        <w:rPr>
          <w:rFonts w:ascii="Times New Roman" w:eastAsia="Times New Roman" w:hAnsi="Times New Roman" w:cs="Times New Roman"/>
          <w:lang w:eastAsia="en-GB"/>
        </w:rPr>
        <w:t xml:space="preserve">the </w:t>
      </w:r>
      <w:r>
        <w:rPr>
          <w:rFonts w:ascii="Times New Roman" w:eastAsia="Times New Roman" w:hAnsi="Times New Roman" w:cs="Times New Roman"/>
          <w:lang w:eastAsia="en-GB"/>
        </w:rPr>
        <w:t xml:space="preserve">household and firm loans using bank-level data from 40 developed and developing countries. </w:t>
      </w:r>
    </w:p>
    <w:p w14:paraId="467C450D" w14:textId="4B19F0B6" w:rsidR="00FC677E" w:rsidRDefault="00B81BA8" w:rsidP="00334E6D">
      <w:pPr>
        <w:spacing w:before="240" w:after="0" w:line="276" w:lineRule="auto"/>
        <w:ind w:left="11" w:right="227" w:hanging="1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The study finds that </w:t>
      </w:r>
      <w:r w:rsidRPr="00B81BA8">
        <w:rPr>
          <w:rFonts w:ascii="Times New Roman" w:eastAsia="Times New Roman" w:hAnsi="Times New Roman" w:cs="Times New Roman"/>
          <w:lang w:eastAsia="en-GB"/>
        </w:rPr>
        <w:t>higher economic uncertainty is associated with an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r w:rsidRPr="00B81BA8">
        <w:rPr>
          <w:rFonts w:ascii="Times New Roman" w:eastAsia="Times New Roman" w:hAnsi="Times New Roman" w:cs="Times New Roman"/>
          <w:lang w:eastAsia="en-GB"/>
        </w:rPr>
        <w:t>increase in the relative share of household credit in the loan portfolio of banks.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r w:rsidRPr="00B81BA8">
        <w:rPr>
          <w:rFonts w:ascii="Times New Roman" w:eastAsia="Times New Roman" w:hAnsi="Times New Roman" w:cs="Times New Roman"/>
          <w:lang w:eastAsia="en-GB"/>
        </w:rPr>
        <w:t>This change</w:t>
      </w:r>
      <w:r>
        <w:rPr>
          <w:rFonts w:ascii="Times New Roman" w:eastAsia="Times New Roman" w:hAnsi="Times New Roman" w:cs="Times New Roman"/>
          <w:lang w:eastAsia="en-GB"/>
        </w:rPr>
        <w:t xml:space="preserve"> in</w:t>
      </w:r>
      <w:r w:rsidRPr="00B81BA8">
        <w:rPr>
          <w:rFonts w:ascii="Times New Roman" w:eastAsia="Times New Roman" w:hAnsi="Times New Roman" w:cs="Times New Roman"/>
          <w:lang w:eastAsia="en-GB"/>
        </w:rPr>
        <w:t xml:space="preserve"> </w:t>
      </w:r>
      <w:r w:rsidR="00380014">
        <w:rPr>
          <w:rFonts w:ascii="Times New Roman" w:eastAsia="Times New Roman" w:hAnsi="Times New Roman" w:cs="Times New Roman"/>
          <w:lang w:eastAsia="en-GB"/>
        </w:rPr>
        <w:t xml:space="preserve">the </w:t>
      </w:r>
      <w:r w:rsidRPr="00B81BA8">
        <w:rPr>
          <w:rFonts w:ascii="Times New Roman" w:eastAsia="Times New Roman" w:hAnsi="Times New Roman" w:cs="Times New Roman"/>
          <w:lang w:eastAsia="en-GB"/>
        </w:rPr>
        <w:t xml:space="preserve">composition of credit </w:t>
      </w:r>
      <w:r>
        <w:rPr>
          <w:rFonts w:ascii="Times New Roman" w:eastAsia="Times New Roman" w:hAnsi="Times New Roman" w:cs="Times New Roman"/>
          <w:lang w:eastAsia="en-GB"/>
        </w:rPr>
        <w:t xml:space="preserve">likely </w:t>
      </w:r>
      <w:r w:rsidRPr="00B81BA8">
        <w:rPr>
          <w:rFonts w:ascii="Times New Roman" w:eastAsia="Times New Roman" w:hAnsi="Times New Roman" w:cs="Times New Roman"/>
          <w:lang w:eastAsia="en-GB"/>
        </w:rPr>
        <w:t>result</w:t>
      </w:r>
      <w:r>
        <w:rPr>
          <w:rFonts w:ascii="Times New Roman" w:eastAsia="Times New Roman" w:hAnsi="Times New Roman" w:cs="Times New Roman"/>
          <w:lang w:eastAsia="en-GB"/>
        </w:rPr>
        <w:t>s</w:t>
      </w:r>
      <w:r w:rsidRPr="00B81BA8">
        <w:rPr>
          <w:rFonts w:ascii="Times New Roman" w:eastAsia="Times New Roman" w:hAnsi="Times New Roman" w:cs="Times New Roman"/>
          <w:lang w:eastAsia="en-GB"/>
        </w:rPr>
        <w:t xml:space="preserve"> from banks’ efforts to reduce the overall riskiness of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r w:rsidRPr="00B81BA8">
        <w:rPr>
          <w:rFonts w:ascii="Times New Roman" w:eastAsia="Times New Roman" w:hAnsi="Times New Roman" w:cs="Times New Roman"/>
          <w:lang w:eastAsia="en-GB"/>
        </w:rPr>
        <w:t>their loan portfolios, since corporate loans are generally viewed as riskier than household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r w:rsidRPr="00B81BA8">
        <w:rPr>
          <w:rFonts w:ascii="Times New Roman" w:eastAsia="Times New Roman" w:hAnsi="Times New Roman" w:cs="Times New Roman"/>
          <w:lang w:eastAsia="en-GB"/>
        </w:rPr>
        <w:t xml:space="preserve">loans. This shift </w:t>
      </w:r>
      <w:r w:rsidR="00FC677E">
        <w:rPr>
          <w:rFonts w:ascii="Times New Roman" w:eastAsia="Times New Roman" w:hAnsi="Times New Roman" w:cs="Times New Roman"/>
          <w:lang w:eastAsia="en-GB"/>
        </w:rPr>
        <w:t xml:space="preserve">towards household loans </w:t>
      </w:r>
      <w:r w:rsidRPr="00B81BA8">
        <w:rPr>
          <w:rFonts w:ascii="Times New Roman" w:eastAsia="Times New Roman" w:hAnsi="Times New Roman" w:cs="Times New Roman"/>
          <w:lang w:eastAsia="en-GB"/>
        </w:rPr>
        <w:t>is more pronounced for weakly-capitalized banks, which may face gre</w:t>
      </w:r>
      <w:bookmarkStart w:id="0" w:name="_GoBack"/>
      <w:bookmarkEnd w:id="0"/>
      <w:r w:rsidRPr="00B81BA8">
        <w:rPr>
          <w:rFonts w:ascii="Times New Roman" w:eastAsia="Times New Roman" w:hAnsi="Times New Roman" w:cs="Times New Roman"/>
          <w:lang w:eastAsia="en-GB"/>
        </w:rPr>
        <w:t>ater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r w:rsidRPr="00B81BA8">
        <w:rPr>
          <w:rFonts w:ascii="Times New Roman" w:eastAsia="Times New Roman" w:hAnsi="Times New Roman" w:cs="Times New Roman"/>
          <w:lang w:eastAsia="en-GB"/>
        </w:rPr>
        <w:t>risks during economic shocks, and for larger banks, which may be riskier due to complex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r w:rsidRPr="00B81BA8">
        <w:rPr>
          <w:rFonts w:ascii="Times New Roman" w:eastAsia="Times New Roman" w:hAnsi="Times New Roman" w:cs="Times New Roman"/>
          <w:lang w:eastAsia="en-GB"/>
        </w:rPr>
        <w:t>business models and more market-based activities. The findings suggest</w:t>
      </w:r>
      <w:r w:rsidR="00FC677E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B81BA8">
        <w:rPr>
          <w:rFonts w:ascii="Times New Roman" w:eastAsia="Times New Roman" w:hAnsi="Times New Roman" w:cs="Times New Roman"/>
          <w:lang w:eastAsia="en-GB"/>
        </w:rPr>
        <w:t xml:space="preserve">that </w:t>
      </w:r>
      <w:r w:rsidR="00FC677E">
        <w:rPr>
          <w:rFonts w:ascii="Times New Roman" w:eastAsia="Times New Roman" w:hAnsi="Times New Roman" w:cs="Times New Roman"/>
          <w:lang w:eastAsia="en-GB"/>
        </w:rPr>
        <w:t>these changes in bank credit composition are likely to be supply-driven.</w:t>
      </w:r>
    </w:p>
    <w:p w14:paraId="4303D341" w14:textId="77777777" w:rsidR="007A5BEB" w:rsidRDefault="00FC677E" w:rsidP="00334E6D">
      <w:pPr>
        <w:spacing w:before="240" w:after="0" w:line="276" w:lineRule="auto"/>
        <w:ind w:left="11" w:right="227" w:hanging="11"/>
        <w:rPr>
          <w:rFonts w:ascii="Times New Roman" w:eastAsia="Times New Roman" w:hAnsi="Times New Roman" w:cs="Times New Roman"/>
          <w:lang w:eastAsia="en-GB"/>
        </w:rPr>
      </w:pPr>
      <w:r w:rsidRPr="00FC677E">
        <w:rPr>
          <w:rFonts w:ascii="Times New Roman" w:eastAsia="Times New Roman" w:hAnsi="Times New Roman" w:cs="Times New Roman"/>
          <w:lang w:eastAsia="en-GB"/>
        </w:rPr>
        <w:t>The observed shift in bank lending portfolios contributes to a better understanding of the impact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r w:rsidRPr="00FC677E">
        <w:rPr>
          <w:rFonts w:ascii="Times New Roman" w:eastAsia="Times New Roman" w:hAnsi="Times New Roman" w:cs="Times New Roman"/>
          <w:lang w:eastAsia="en-GB"/>
        </w:rPr>
        <w:t xml:space="preserve">of changes in the macroeconomic environment on financing outcomes at the micro-level. </w:t>
      </w:r>
      <w:r>
        <w:rPr>
          <w:rFonts w:ascii="Times New Roman" w:eastAsia="Times New Roman" w:hAnsi="Times New Roman" w:cs="Times New Roman"/>
          <w:lang w:eastAsia="en-GB"/>
        </w:rPr>
        <w:t xml:space="preserve">The </w:t>
      </w:r>
      <w:r w:rsidRPr="00FC677E">
        <w:rPr>
          <w:rFonts w:ascii="Times New Roman" w:eastAsia="Times New Roman" w:hAnsi="Times New Roman" w:cs="Times New Roman"/>
          <w:lang w:eastAsia="en-GB"/>
        </w:rPr>
        <w:t>findings have implications from a macroprudential policy and regulatory perspective. Banking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r w:rsidRPr="00FC677E">
        <w:rPr>
          <w:rFonts w:ascii="Times New Roman" w:eastAsia="Times New Roman" w:hAnsi="Times New Roman" w:cs="Times New Roman"/>
          <w:lang w:eastAsia="en-GB"/>
        </w:rPr>
        <w:t>regulations across the world, usually based on the Basel norms for capital adequacy, require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r w:rsidRPr="00FC677E">
        <w:rPr>
          <w:rFonts w:ascii="Times New Roman" w:eastAsia="Times New Roman" w:hAnsi="Times New Roman" w:cs="Times New Roman"/>
          <w:lang w:eastAsia="en-GB"/>
        </w:rPr>
        <w:t xml:space="preserve">banks to have adequate risk-weighted capital as a proportion of their total loans. </w:t>
      </w:r>
      <w:r>
        <w:rPr>
          <w:rFonts w:ascii="Times New Roman" w:eastAsia="Times New Roman" w:hAnsi="Times New Roman" w:cs="Times New Roman"/>
          <w:lang w:eastAsia="en-GB"/>
        </w:rPr>
        <w:t xml:space="preserve">The </w:t>
      </w:r>
      <w:r w:rsidRPr="00FC677E">
        <w:rPr>
          <w:rFonts w:ascii="Times New Roman" w:eastAsia="Times New Roman" w:hAnsi="Times New Roman" w:cs="Times New Roman"/>
          <w:lang w:eastAsia="en-GB"/>
        </w:rPr>
        <w:t>finding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r w:rsidRPr="00FC677E">
        <w:rPr>
          <w:rFonts w:ascii="Times New Roman" w:eastAsia="Times New Roman" w:hAnsi="Times New Roman" w:cs="Times New Roman"/>
          <w:lang w:eastAsia="en-GB"/>
        </w:rPr>
        <w:t>that banks with higher capital ratios alter their credit composition to a lower extent during high</w:t>
      </w:r>
      <w:r>
        <w:rPr>
          <w:rFonts w:ascii="Times New Roman" w:eastAsia="Times New Roman" w:hAnsi="Times New Roman" w:cs="Times New Roman"/>
          <w:lang w:eastAsia="en-GB"/>
        </w:rPr>
        <w:t xml:space="preserve"> uncertainty</w:t>
      </w:r>
      <w:r w:rsidRPr="00FC677E">
        <w:rPr>
          <w:rFonts w:ascii="Times New Roman" w:eastAsia="Times New Roman" w:hAnsi="Times New Roman" w:cs="Times New Roman"/>
          <w:lang w:eastAsia="en-GB"/>
        </w:rPr>
        <w:t xml:space="preserve"> strengthens the argument for the importance of capital regulations for sustaining credit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r w:rsidRPr="00FC677E">
        <w:rPr>
          <w:rFonts w:ascii="Times New Roman" w:eastAsia="Times New Roman" w:hAnsi="Times New Roman" w:cs="Times New Roman"/>
          <w:lang w:eastAsia="en-GB"/>
        </w:rPr>
        <w:t>flows to the corporate sector</w:t>
      </w:r>
      <w:r>
        <w:rPr>
          <w:rFonts w:ascii="Times New Roman" w:eastAsia="Times New Roman" w:hAnsi="Times New Roman" w:cs="Times New Roman"/>
          <w:lang w:eastAsia="en-GB"/>
        </w:rPr>
        <w:t xml:space="preserve">. </w:t>
      </w:r>
    </w:p>
    <w:p w14:paraId="146A7DFC" w14:textId="28289183" w:rsidR="007A5BEB" w:rsidRDefault="000E6B42" w:rsidP="00334E6D">
      <w:pPr>
        <w:spacing w:before="240" w:after="0" w:line="276" w:lineRule="auto"/>
        <w:ind w:left="11" w:right="227" w:hanging="1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The research is particularly important in light of the </w:t>
      </w:r>
      <w:r w:rsidR="00234248">
        <w:rPr>
          <w:rFonts w:ascii="Times New Roman" w:eastAsia="Times New Roman" w:hAnsi="Times New Roman" w:cs="Times New Roman"/>
          <w:lang w:eastAsia="en-GB"/>
        </w:rPr>
        <w:t xml:space="preserve">ongoing </w:t>
      </w:r>
      <w:r>
        <w:rPr>
          <w:rFonts w:ascii="Times New Roman" w:eastAsia="Times New Roman" w:hAnsi="Times New Roman" w:cs="Times New Roman"/>
          <w:lang w:eastAsia="en-GB"/>
        </w:rPr>
        <w:t>Covid-19 pandemic</w:t>
      </w:r>
      <w:r w:rsidR="00234248">
        <w:rPr>
          <w:rFonts w:ascii="Times New Roman" w:eastAsia="Times New Roman" w:hAnsi="Times New Roman" w:cs="Times New Roman"/>
          <w:lang w:eastAsia="en-GB"/>
        </w:rPr>
        <w:t xml:space="preserve"> which has </w:t>
      </w:r>
      <w:r w:rsidR="00B8671C">
        <w:rPr>
          <w:rFonts w:ascii="Times New Roman" w:eastAsia="Times New Roman" w:hAnsi="Times New Roman" w:cs="Times New Roman"/>
          <w:lang w:eastAsia="en-GB"/>
        </w:rPr>
        <w:t xml:space="preserve">triggered extremely high </w:t>
      </w:r>
      <w:r w:rsidR="00234248">
        <w:rPr>
          <w:rFonts w:ascii="Times New Roman" w:eastAsia="Times New Roman" w:hAnsi="Times New Roman" w:cs="Times New Roman"/>
          <w:lang w:eastAsia="en-GB"/>
        </w:rPr>
        <w:t xml:space="preserve">economic uncertainty </w:t>
      </w:r>
      <w:r w:rsidR="00B8671C">
        <w:rPr>
          <w:rFonts w:ascii="Times New Roman" w:eastAsia="Times New Roman" w:hAnsi="Times New Roman" w:cs="Times New Roman"/>
          <w:lang w:eastAsia="en-GB"/>
        </w:rPr>
        <w:t>across the world</w:t>
      </w:r>
      <w:r w:rsidR="00655416">
        <w:rPr>
          <w:rFonts w:ascii="Times New Roman" w:eastAsia="Times New Roman" w:hAnsi="Times New Roman" w:cs="Times New Roman"/>
          <w:lang w:eastAsia="en-GB"/>
        </w:rPr>
        <w:t xml:space="preserve">. Although conducted using a cross-country framework, the findings of the study have significance </w:t>
      </w:r>
      <w:r w:rsidR="008C26FE">
        <w:rPr>
          <w:rFonts w:ascii="Times New Roman" w:eastAsia="Times New Roman" w:hAnsi="Times New Roman" w:cs="Times New Roman"/>
          <w:lang w:eastAsia="en-GB"/>
        </w:rPr>
        <w:t>in</w:t>
      </w:r>
      <w:r w:rsidR="00655416">
        <w:rPr>
          <w:rFonts w:ascii="Times New Roman" w:eastAsia="Times New Roman" w:hAnsi="Times New Roman" w:cs="Times New Roman"/>
          <w:lang w:eastAsia="en-GB"/>
        </w:rPr>
        <w:t xml:space="preserve"> the Indian context. An implication for India is that with </w:t>
      </w:r>
      <w:r w:rsidR="007A5BEB">
        <w:rPr>
          <w:rFonts w:ascii="Times New Roman" w:eastAsia="Times New Roman" w:hAnsi="Times New Roman" w:cs="Times New Roman"/>
          <w:lang w:eastAsia="en-GB"/>
        </w:rPr>
        <w:t xml:space="preserve">a projected increase in the volume of stressed assets </w:t>
      </w:r>
      <w:r w:rsidR="00655416">
        <w:rPr>
          <w:rFonts w:ascii="Times New Roman" w:eastAsia="Times New Roman" w:hAnsi="Times New Roman" w:cs="Times New Roman"/>
          <w:lang w:eastAsia="en-GB"/>
        </w:rPr>
        <w:t>and risk aversion in the banking system during these times of economic uncertainty</w:t>
      </w:r>
      <w:r w:rsidR="007A5BEB">
        <w:rPr>
          <w:rFonts w:ascii="Times New Roman" w:eastAsia="Times New Roman" w:hAnsi="Times New Roman" w:cs="Times New Roman"/>
          <w:lang w:eastAsia="en-GB"/>
        </w:rPr>
        <w:t xml:space="preserve">, </w:t>
      </w:r>
      <w:r w:rsidR="00655416">
        <w:rPr>
          <w:rFonts w:ascii="Times New Roman" w:eastAsia="Times New Roman" w:hAnsi="Times New Roman" w:cs="Times New Roman"/>
          <w:lang w:eastAsia="en-GB"/>
        </w:rPr>
        <w:t xml:space="preserve">timely </w:t>
      </w:r>
      <w:r w:rsidR="007A5BEB">
        <w:rPr>
          <w:rFonts w:ascii="Times New Roman" w:eastAsia="Times New Roman" w:hAnsi="Times New Roman" w:cs="Times New Roman"/>
          <w:lang w:eastAsia="en-GB"/>
        </w:rPr>
        <w:lastRenderedPageBreak/>
        <w:t>recapitaliz</w:t>
      </w:r>
      <w:r w:rsidR="00655416">
        <w:rPr>
          <w:rFonts w:ascii="Times New Roman" w:eastAsia="Times New Roman" w:hAnsi="Times New Roman" w:cs="Times New Roman"/>
          <w:lang w:eastAsia="en-GB"/>
        </w:rPr>
        <w:t>ation of</w:t>
      </w:r>
      <w:r w:rsidR="007A5BEB">
        <w:rPr>
          <w:rFonts w:ascii="Times New Roman" w:eastAsia="Times New Roman" w:hAnsi="Times New Roman" w:cs="Times New Roman"/>
          <w:lang w:eastAsia="en-GB"/>
        </w:rPr>
        <w:t xml:space="preserve"> banks </w:t>
      </w:r>
      <w:r w:rsidR="00655416">
        <w:rPr>
          <w:rFonts w:ascii="Times New Roman" w:eastAsia="Times New Roman" w:hAnsi="Times New Roman" w:cs="Times New Roman"/>
          <w:lang w:eastAsia="en-GB"/>
        </w:rPr>
        <w:t xml:space="preserve">would help in </w:t>
      </w:r>
      <w:r w:rsidR="007A5BEB">
        <w:rPr>
          <w:rFonts w:ascii="Times New Roman" w:eastAsia="Times New Roman" w:hAnsi="Times New Roman" w:cs="Times New Roman"/>
          <w:lang w:eastAsia="en-GB"/>
        </w:rPr>
        <w:t>ensur</w:t>
      </w:r>
      <w:r w:rsidR="00655416">
        <w:rPr>
          <w:rFonts w:ascii="Times New Roman" w:eastAsia="Times New Roman" w:hAnsi="Times New Roman" w:cs="Times New Roman"/>
          <w:lang w:eastAsia="en-GB"/>
        </w:rPr>
        <w:t>ing</w:t>
      </w:r>
      <w:r w:rsidR="007A5BEB">
        <w:rPr>
          <w:rFonts w:ascii="Times New Roman" w:eastAsia="Times New Roman" w:hAnsi="Times New Roman" w:cs="Times New Roman"/>
          <w:lang w:eastAsia="en-GB"/>
        </w:rPr>
        <w:t xml:space="preserve"> adequate credit </w:t>
      </w:r>
      <w:r w:rsidR="0043187C">
        <w:rPr>
          <w:rFonts w:ascii="Times New Roman" w:eastAsia="Times New Roman" w:hAnsi="Times New Roman" w:cs="Times New Roman"/>
          <w:lang w:eastAsia="en-GB"/>
        </w:rPr>
        <w:t xml:space="preserve">flows </w:t>
      </w:r>
      <w:r w:rsidR="007A5BEB">
        <w:rPr>
          <w:rFonts w:ascii="Times New Roman" w:eastAsia="Times New Roman" w:hAnsi="Times New Roman" w:cs="Times New Roman"/>
          <w:lang w:eastAsia="en-GB"/>
        </w:rPr>
        <w:t xml:space="preserve">to the </w:t>
      </w:r>
      <w:r w:rsidR="00655416">
        <w:rPr>
          <w:rFonts w:ascii="Times New Roman" w:eastAsia="Times New Roman" w:hAnsi="Times New Roman" w:cs="Times New Roman"/>
          <w:lang w:eastAsia="en-GB"/>
        </w:rPr>
        <w:t xml:space="preserve">corporate </w:t>
      </w:r>
      <w:r w:rsidR="007A5BEB">
        <w:rPr>
          <w:rFonts w:ascii="Times New Roman" w:eastAsia="Times New Roman" w:hAnsi="Times New Roman" w:cs="Times New Roman"/>
          <w:lang w:eastAsia="en-GB"/>
        </w:rPr>
        <w:t>sector</w:t>
      </w:r>
      <w:r w:rsidR="00FA2C6A">
        <w:rPr>
          <w:rFonts w:ascii="Times New Roman" w:eastAsia="Times New Roman" w:hAnsi="Times New Roman" w:cs="Times New Roman"/>
          <w:lang w:eastAsia="en-GB"/>
        </w:rPr>
        <w:t xml:space="preserve"> and </w:t>
      </w:r>
      <w:r w:rsidR="0043187C">
        <w:rPr>
          <w:rFonts w:ascii="Times New Roman" w:eastAsia="Times New Roman" w:hAnsi="Times New Roman" w:cs="Times New Roman"/>
          <w:lang w:eastAsia="en-GB"/>
        </w:rPr>
        <w:t>facilitate</w:t>
      </w:r>
      <w:r w:rsidR="007A5BEB">
        <w:rPr>
          <w:rFonts w:ascii="Times New Roman" w:eastAsia="Times New Roman" w:hAnsi="Times New Roman" w:cs="Times New Roman"/>
          <w:lang w:eastAsia="en-GB"/>
        </w:rPr>
        <w:t xml:space="preserve"> India’s </w:t>
      </w:r>
      <w:r w:rsidR="0043187C">
        <w:rPr>
          <w:rFonts w:ascii="Times New Roman" w:eastAsia="Times New Roman" w:hAnsi="Times New Roman" w:cs="Times New Roman"/>
          <w:lang w:eastAsia="en-GB"/>
        </w:rPr>
        <w:t xml:space="preserve">economic </w:t>
      </w:r>
      <w:r w:rsidR="007A5BEB">
        <w:rPr>
          <w:rFonts w:ascii="Times New Roman" w:eastAsia="Times New Roman" w:hAnsi="Times New Roman" w:cs="Times New Roman"/>
          <w:lang w:eastAsia="en-GB"/>
        </w:rPr>
        <w:t xml:space="preserve">recovery. </w:t>
      </w:r>
    </w:p>
    <w:p w14:paraId="6A9B1C28" w14:textId="76CF93EA" w:rsidR="000E6B42" w:rsidRDefault="007A5BEB" w:rsidP="00334E6D">
      <w:pPr>
        <w:spacing w:before="240" w:after="0" w:line="276" w:lineRule="auto"/>
        <w:ind w:left="11" w:right="227" w:hanging="1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 </w:t>
      </w:r>
    </w:p>
    <w:p w14:paraId="25FBE787" w14:textId="002FD45B" w:rsidR="00AC1B0D" w:rsidRPr="00AC1B0D" w:rsidRDefault="006B504B" w:rsidP="007A5BEB">
      <w:pPr>
        <w:spacing w:before="240" w:after="0" w:line="276" w:lineRule="auto"/>
        <w:ind w:left="11" w:right="227" w:hanging="11"/>
        <w:jc w:val="left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The</w:t>
      </w:r>
      <w:r w:rsidR="00FC677E">
        <w:rPr>
          <w:rFonts w:ascii="Times New Roman" w:eastAsia="Times New Roman" w:hAnsi="Times New Roman" w:cs="Times New Roman"/>
          <w:lang w:eastAsia="en-GB"/>
        </w:rPr>
        <w:t xml:space="preserve"> </w:t>
      </w:r>
      <w:r w:rsidR="00AA67A0">
        <w:rPr>
          <w:rFonts w:ascii="Times New Roman" w:eastAsia="Times New Roman" w:hAnsi="Times New Roman" w:cs="Times New Roman"/>
          <w:lang w:eastAsia="en-GB"/>
        </w:rPr>
        <w:t xml:space="preserve">full </w:t>
      </w:r>
      <w:r>
        <w:rPr>
          <w:rFonts w:ascii="Times New Roman" w:eastAsia="Times New Roman" w:hAnsi="Times New Roman" w:cs="Times New Roman"/>
          <w:lang w:eastAsia="en-GB"/>
        </w:rPr>
        <w:t xml:space="preserve">report can be accessed from </w:t>
      </w:r>
      <w:r w:rsidRPr="006B504B">
        <w:rPr>
          <w:rFonts w:ascii="Times New Roman" w:eastAsia="Times New Roman" w:hAnsi="Times New Roman" w:cs="Times New Roman"/>
          <w:lang w:eastAsia="en-GB"/>
        </w:rPr>
        <w:t>https://www.iima.ac.in/c/document_library/EPU_BankLoanPortfolios.pdf</w:t>
      </w:r>
    </w:p>
    <w:p w14:paraId="390B19EB" w14:textId="4E234052" w:rsidR="00603E96" w:rsidRDefault="004C22AD" w:rsidP="00334E6D">
      <w:pPr>
        <w:spacing w:before="240" w:after="0" w:line="240" w:lineRule="auto"/>
        <w:ind w:left="0" w:firstLine="0"/>
        <w:jc w:val="left"/>
      </w:pPr>
      <w:r w:rsidRPr="00AB144A">
        <w:rPr>
          <w:rFonts w:ascii="Times New Roman" w:hAnsi="Times New Roman" w:cs="Times New Roman"/>
          <w:i/>
          <w:iCs/>
          <w:sz w:val="20"/>
          <w:szCs w:val="20"/>
          <w:u w:val="single"/>
        </w:rPr>
        <w:t>For media queries, please contact:</w:t>
      </w:r>
      <w:r w:rsidR="00234248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AB144A">
        <w:rPr>
          <w:rFonts w:ascii="Times New Roman" w:hAnsi="Times New Roman" w:cs="Times New Roman"/>
          <w:b/>
          <w:bCs/>
          <w:sz w:val="20"/>
          <w:szCs w:val="20"/>
        </w:rPr>
        <w:t>Mitaaly Naidu</w:t>
      </w:r>
      <w:r w:rsidR="00234248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AB144A">
        <w:rPr>
          <w:rFonts w:ascii="Times New Roman" w:hAnsi="Times New Roman" w:cs="Times New Roman"/>
          <w:b/>
          <w:bCs/>
          <w:sz w:val="20"/>
          <w:szCs w:val="20"/>
        </w:rPr>
        <w:t>Executive, Public Relations</w:t>
      </w:r>
      <w:r w:rsidR="00234248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AB144A">
        <w:rPr>
          <w:rFonts w:ascii="Times New Roman" w:hAnsi="Times New Roman" w:cs="Times New Roman"/>
          <w:sz w:val="20"/>
          <w:szCs w:val="20"/>
        </w:rPr>
        <w:t xml:space="preserve">Ph: (Cell) +91-7069074816, (O) +91-79-7152 4684, Email: </w:t>
      </w:r>
      <w:hyperlink r:id="rId9" w:history="1">
        <w:r w:rsidR="007A5BEB" w:rsidRPr="00934FEA">
          <w:rPr>
            <w:rStyle w:val="Hyperlink"/>
            <w:rFonts w:ascii="Times New Roman" w:hAnsi="Times New Roman" w:cs="Times New Roman"/>
          </w:rPr>
          <w:t>pr@iima.ac.in</w:t>
        </w:r>
      </w:hyperlink>
    </w:p>
    <w:sectPr w:rsidR="00603E96">
      <w:footnotePr>
        <w:numFmt w:val="chicago"/>
      </w:footnotePr>
      <w:pgSz w:w="11906" w:h="16838"/>
      <w:pgMar w:top="1514" w:right="1440" w:bottom="79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411F31" w14:textId="77777777" w:rsidR="002C654A" w:rsidRDefault="002C654A" w:rsidP="00CD189C">
      <w:pPr>
        <w:spacing w:after="0" w:line="240" w:lineRule="auto"/>
      </w:pPr>
      <w:r>
        <w:separator/>
      </w:r>
    </w:p>
  </w:endnote>
  <w:endnote w:type="continuationSeparator" w:id="0">
    <w:p w14:paraId="5EA25CD6" w14:textId="77777777" w:rsidR="002C654A" w:rsidRDefault="002C654A" w:rsidP="00CD1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EF0EB7" w14:textId="77777777" w:rsidR="002C654A" w:rsidRDefault="002C654A" w:rsidP="00CD189C">
      <w:pPr>
        <w:spacing w:after="0" w:line="240" w:lineRule="auto"/>
      </w:pPr>
      <w:r>
        <w:separator/>
      </w:r>
    </w:p>
  </w:footnote>
  <w:footnote w:type="continuationSeparator" w:id="0">
    <w:p w14:paraId="637A91C0" w14:textId="77777777" w:rsidR="002C654A" w:rsidRDefault="002C654A" w:rsidP="00CD189C">
      <w:pPr>
        <w:spacing w:after="0" w:line="240" w:lineRule="auto"/>
      </w:pPr>
      <w:r>
        <w:continuationSeparator/>
      </w:r>
    </w:p>
  </w:footnote>
  <w:footnote w:id="1">
    <w:p w14:paraId="1C7AFA94" w14:textId="3CB24397" w:rsidR="00E13BCE" w:rsidRPr="00AA67A0" w:rsidRDefault="00E13BCE" w:rsidP="00AA67A0">
      <w:pPr>
        <w:spacing w:line="276" w:lineRule="auto"/>
        <w:rPr>
          <w:rFonts w:ascii="Times New Roman" w:eastAsia="Times New Roman" w:hAnsi="Times New Roman" w:cs="Times New Roman"/>
          <w:sz w:val="20"/>
          <w:szCs w:val="18"/>
          <w:lang w:eastAsia="en-GB"/>
        </w:rPr>
      </w:pPr>
      <w:r w:rsidRPr="006A4107">
        <w:rPr>
          <w:rFonts w:ascii="Times New Roman" w:eastAsia="Times New Roman" w:hAnsi="Times New Roman" w:cs="Times New Roman"/>
          <w:sz w:val="20"/>
          <w:szCs w:val="18"/>
          <w:lang w:eastAsia="en-GB"/>
        </w:rPr>
        <w:footnoteRef/>
      </w:r>
      <w:r w:rsidR="006A4107" w:rsidRPr="006A4107">
        <w:rPr>
          <w:rFonts w:ascii="Times New Roman" w:eastAsia="Times New Roman" w:hAnsi="Times New Roman" w:cs="Times New Roman"/>
          <w:sz w:val="20"/>
          <w:szCs w:val="18"/>
          <w:lang w:eastAsia="en-GB"/>
        </w:rPr>
        <w:t xml:space="preserve">The </w:t>
      </w:r>
      <w:r w:rsidR="000E6B42">
        <w:rPr>
          <w:rFonts w:ascii="Times New Roman" w:eastAsia="Times New Roman" w:hAnsi="Times New Roman" w:cs="Times New Roman"/>
          <w:sz w:val="20"/>
          <w:szCs w:val="18"/>
          <w:lang w:eastAsia="en-GB"/>
        </w:rPr>
        <w:t xml:space="preserve">research was conducted by </w:t>
      </w:r>
      <w:r w:rsidR="006A4107" w:rsidRPr="006A4107">
        <w:rPr>
          <w:rFonts w:ascii="Times New Roman" w:eastAsia="Times New Roman" w:hAnsi="Times New Roman" w:cs="Times New Roman"/>
          <w:sz w:val="20"/>
          <w:szCs w:val="18"/>
          <w:lang w:eastAsia="en-GB"/>
        </w:rPr>
        <w:t>Prof. Sanket Mohapatra</w:t>
      </w:r>
      <w:r w:rsidR="008C26FE">
        <w:rPr>
          <w:rFonts w:ascii="Times New Roman" w:eastAsia="Times New Roman" w:hAnsi="Times New Roman" w:cs="Times New Roman"/>
          <w:sz w:val="20"/>
          <w:szCs w:val="18"/>
          <w:lang w:eastAsia="en-GB"/>
        </w:rPr>
        <w:t xml:space="preserve"> (Faculty in the Economics)</w:t>
      </w:r>
      <w:r w:rsidR="006A4107" w:rsidRPr="006A4107">
        <w:rPr>
          <w:rFonts w:ascii="Times New Roman" w:eastAsia="Times New Roman" w:hAnsi="Times New Roman" w:cs="Times New Roman"/>
          <w:sz w:val="20"/>
          <w:szCs w:val="18"/>
          <w:lang w:eastAsia="en-GB"/>
        </w:rPr>
        <w:t xml:space="preserve"> and Siddharth M. Purohit</w:t>
      </w:r>
      <w:r w:rsidR="008C26FE">
        <w:rPr>
          <w:rFonts w:ascii="Times New Roman" w:eastAsia="Times New Roman" w:hAnsi="Times New Roman" w:cs="Times New Roman"/>
          <w:sz w:val="20"/>
          <w:szCs w:val="18"/>
          <w:lang w:eastAsia="en-GB"/>
        </w:rPr>
        <w:t xml:space="preserve"> (</w:t>
      </w:r>
      <w:r w:rsidR="006A4107" w:rsidRPr="006A4107">
        <w:rPr>
          <w:rFonts w:ascii="Times New Roman" w:eastAsia="Times New Roman" w:hAnsi="Times New Roman" w:cs="Times New Roman"/>
          <w:sz w:val="20"/>
          <w:szCs w:val="18"/>
          <w:lang w:eastAsia="en-GB"/>
        </w:rPr>
        <w:t>PhD student</w:t>
      </w:r>
      <w:r w:rsidR="008C26FE">
        <w:rPr>
          <w:rFonts w:ascii="Times New Roman" w:eastAsia="Times New Roman" w:hAnsi="Times New Roman" w:cs="Times New Roman"/>
          <w:sz w:val="20"/>
          <w:szCs w:val="18"/>
          <w:lang w:eastAsia="en-GB"/>
        </w:rPr>
        <w:t xml:space="preserve"> in Finance &amp; Accounting)</w:t>
      </w:r>
      <w:r w:rsidR="006A4107" w:rsidRPr="006A4107">
        <w:rPr>
          <w:rFonts w:ascii="Times New Roman" w:eastAsia="Times New Roman" w:hAnsi="Times New Roman" w:cs="Times New Roman"/>
          <w:sz w:val="20"/>
          <w:szCs w:val="18"/>
          <w:lang w:eastAsia="en-GB"/>
        </w:rPr>
        <w:t xml:space="preserve"> </w:t>
      </w:r>
      <w:r w:rsidR="000E6B42">
        <w:rPr>
          <w:rFonts w:ascii="Times New Roman" w:eastAsia="Times New Roman" w:hAnsi="Times New Roman" w:cs="Times New Roman"/>
          <w:sz w:val="20"/>
          <w:szCs w:val="18"/>
          <w:lang w:eastAsia="en-GB"/>
        </w:rPr>
        <w:t>at</w:t>
      </w:r>
      <w:r w:rsidR="000E6B42" w:rsidRPr="006A4107">
        <w:rPr>
          <w:rFonts w:ascii="Times New Roman" w:eastAsia="Times New Roman" w:hAnsi="Times New Roman" w:cs="Times New Roman"/>
          <w:sz w:val="20"/>
          <w:szCs w:val="18"/>
          <w:lang w:eastAsia="en-GB"/>
        </w:rPr>
        <w:t xml:space="preserve"> </w:t>
      </w:r>
      <w:r w:rsidR="006A4107" w:rsidRPr="006A4107">
        <w:rPr>
          <w:rFonts w:ascii="Times New Roman" w:eastAsia="Times New Roman" w:hAnsi="Times New Roman" w:cs="Times New Roman"/>
          <w:sz w:val="20"/>
          <w:szCs w:val="18"/>
          <w:lang w:eastAsia="en-GB"/>
        </w:rPr>
        <w:t>IIM Ahmedabad</w:t>
      </w:r>
      <w:r w:rsidR="006A4107">
        <w:rPr>
          <w:rFonts w:ascii="Times New Roman" w:eastAsia="Times New Roman" w:hAnsi="Times New Roman" w:cs="Times New Roman"/>
          <w:sz w:val="20"/>
          <w:szCs w:val="18"/>
          <w:lang w:eastAsia="en-GB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43091D"/>
    <w:multiLevelType w:val="hybridMultilevel"/>
    <w:tmpl w:val="B318170C"/>
    <w:lvl w:ilvl="0" w:tplc="25209D80">
      <w:start w:val="1"/>
      <w:numFmt w:val="decimal"/>
      <w:lvlText w:val="%1)"/>
      <w:lvlJc w:val="left"/>
      <w:pPr>
        <w:ind w:left="34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65" w:hanging="360"/>
      </w:pPr>
    </w:lvl>
    <w:lvl w:ilvl="2" w:tplc="4009001B" w:tentative="1">
      <w:start w:val="1"/>
      <w:numFmt w:val="lowerRoman"/>
      <w:lvlText w:val="%3."/>
      <w:lvlJc w:val="right"/>
      <w:pPr>
        <w:ind w:left="1785" w:hanging="180"/>
      </w:pPr>
    </w:lvl>
    <w:lvl w:ilvl="3" w:tplc="4009000F" w:tentative="1">
      <w:start w:val="1"/>
      <w:numFmt w:val="decimal"/>
      <w:lvlText w:val="%4."/>
      <w:lvlJc w:val="left"/>
      <w:pPr>
        <w:ind w:left="2505" w:hanging="360"/>
      </w:pPr>
    </w:lvl>
    <w:lvl w:ilvl="4" w:tplc="40090019" w:tentative="1">
      <w:start w:val="1"/>
      <w:numFmt w:val="lowerLetter"/>
      <w:lvlText w:val="%5."/>
      <w:lvlJc w:val="left"/>
      <w:pPr>
        <w:ind w:left="3225" w:hanging="360"/>
      </w:pPr>
    </w:lvl>
    <w:lvl w:ilvl="5" w:tplc="4009001B" w:tentative="1">
      <w:start w:val="1"/>
      <w:numFmt w:val="lowerRoman"/>
      <w:lvlText w:val="%6."/>
      <w:lvlJc w:val="right"/>
      <w:pPr>
        <w:ind w:left="3945" w:hanging="180"/>
      </w:pPr>
    </w:lvl>
    <w:lvl w:ilvl="6" w:tplc="4009000F" w:tentative="1">
      <w:start w:val="1"/>
      <w:numFmt w:val="decimal"/>
      <w:lvlText w:val="%7."/>
      <w:lvlJc w:val="left"/>
      <w:pPr>
        <w:ind w:left="4665" w:hanging="360"/>
      </w:pPr>
    </w:lvl>
    <w:lvl w:ilvl="7" w:tplc="40090019" w:tentative="1">
      <w:start w:val="1"/>
      <w:numFmt w:val="lowerLetter"/>
      <w:lvlText w:val="%8."/>
      <w:lvlJc w:val="left"/>
      <w:pPr>
        <w:ind w:left="5385" w:hanging="360"/>
      </w:pPr>
    </w:lvl>
    <w:lvl w:ilvl="8" w:tplc="40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45063855"/>
    <w:multiLevelType w:val="hybridMultilevel"/>
    <w:tmpl w:val="234461BC"/>
    <w:lvl w:ilvl="0" w:tplc="541C208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5F64E9"/>
    <w:multiLevelType w:val="hybridMultilevel"/>
    <w:tmpl w:val="A2B0A5FA"/>
    <w:lvl w:ilvl="0" w:tplc="0A549B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415782"/>
    <w:multiLevelType w:val="hybridMultilevel"/>
    <w:tmpl w:val="DAB4DADE"/>
    <w:lvl w:ilvl="0" w:tplc="118A16A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proofState w:spelling="clean" w:grammar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2MjA0MDc3Mzc3MDBU0lEKTi0uzszPAykwqQUAV+6iQywAAAA="/>
  </w:docVars>
  <w:rsids>
    <w:rsidRoot w:val="00EB18A3"/>
    <w:rsid w:val="000A134D"/>
    <w:rsid w:val="000C6E7B"/>
    <w:rsid w:val="000E69A5"/>
    <w:rsid w:val="000E6B42"/>
    <w:rsid w:val="00104897"/>
    <w:rsid w:val="001167AF"/>
    <w:rsid w:val="001C590E"/>
    <w:rsid w:val="001E4008"/>
    <w:rsid w:val="00234248"/>
    <w:rsid w:val="002C654A"/>
    <w:rsid w:val="00334E6D"/>
    <w:rsid w:val="00380014"/>
    <w:rsid w:val="0038757F"/>
    <w:rsid w:val="00422348"/>
    <w:rsid w:val="0043187C"/>
    <w:rsid w:val="004708D6"/>
    <w:rsid w:val="004929A4"/>
    <w:rsid w:val="004B034C"/>
    <w:rsid w:val="004C22AD"/>
    <w:rsid w:val="005354B3"/>
    <w:rsid w:val="00543B9C"/>
    <w:rsid w:val="00603E96"/>
    <w:rsid w:val="006168F3"/>
    <w:rsid w:val="00631855"/>
    <w:rsid w:val="00636120"/>
    <w:rsid w:val="00642EDB"/>
    <w:rsid w:val="00655416"/>
    <w:rsid w:val="0069230C"/>
    <w:rsid w:val="006A4107"/>
    <w:rsid w:val="006B504B"/>
    <w:rsid w:val="007302EB"/>
    <w:rsid w:val="00763441"/>
    <w:rsid w:val="00774E93"/>
    <w:rsid w:val="007A0242"/>
    <w:rsid w:val="007A40E6"/>
    <w:rsid w:val="007A5BEB"/>
    <w:rsid w:val="00810477"/>
    <w:rsid w:val="008C26FE"/>
    <w:rsid w:val="009B1474"/>
    <w:rsid w:val="00A01C70"/>
    <w:rsid w:val="00A93500"/>
    <w:rsid w:val="00AA67A0"/>
    <w:rsid w:val="00AC1B0D"/>
    <w:rsid w:val="00B42B76"/>
    <w:rsid w:val="00B61DFC"/>
    <w:rsid w:val="00B81BA8"/>
    <w:rsid w:val="00B8671C"/>
    <w:rsid w:val="00B87E85"/>
    <w:rsid w:val="00BD5446"/>
    <w:rsid w:val="00BE1847"/>
    <w:rsid w:val="00CB08B2"/>
    <w:rsid w:val="00CD189C"/>
    <w:rsid w:val="00CD369B"/>
    <w:rsid w:val="00D0083C"/>
    <w:rsid w:val="00D10BD7"/>
    <w:rsid w:val="00D47E96"/>
    <w:rsid w:val="00DC5D56"/>
    <w:rsid w:val="00DF7B70"/>
    <w:rsid w:val="00E13BCE"/>
    <w:rsid w:val="00E65A4F"/>
    <w:rsid w:val="00E939CB"/>
    <w:rsid w:val="00EB18A3"/>
    <w:rsid w:val="00ED1CAE"/>
    <w:rsid w:val="00FA116B"/>
    <w:rsid w:val="00FA2C6A"/>
    <w:rsid w:val="00FC677E"/>
    <w:rsid w:val="00FF2935"/>
    <w:rsid w:val="00FF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DFCB7"/>
  <w15:docId w15:val="{2E022C45-DC82-43D9-91B9-94314A41A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48" w:line="303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Reference">
    <w:name w:val="Intense Reference"/>
    <w:basedOn w:val="DefaultParagraphFont"/>
    <w:uiPriority w:val="32"/>
    <w:qFormat/>
    <w:rsid w:val="001C590E"/>
    <w:rPr>
      <w:b/>
      <w:bCs/>
      <w:smallCaps/>
      <w:color w:val="4472C4" w:themeColor="accent1"/>
      <w:spacing w:val="5"/>
    </w:rPr>
  </w:style>
  <w:style w:type="character" w:styleId="Hyperlink">
    <w:name w:val="Hyperlink"/>
    <w:basedOn w:val="DefaultParagraphFont"/>
    <w:uiPriority w:val="99"/>
    <w:unhideWhenUsed/>
    <w:rsid w:val="00CD189C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D189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D189C"/>
    <w:rPr>
      <w:rFonts w:ascii="Calibri" w:eastAsia="Calibri" w:hAnsi="Calibri" w:cs="Calibri"/>
      <w:color w:val="000000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D189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13BC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3BCE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13BCE"/>
    <w:rPr>
      <w:vertAlign w:val="superscript"/>
    </w:rPr>
  </w:style>
  <w:style w:type="paragraph" w:styleId="ListParagraph">
    <w:name w:val="List Paragraph"/>
    <w:basedOn w:val="Normal"/>
    <w:uiPriority w:val="34"/>
    <w:qFormat/>
    <w:rsid w:val="004708D6"/>
    <w:pPr>
      <w:spacing w:after="0" w:line="240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Cs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03E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03E96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E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E6D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@iima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BA8E9-CDC3-4D03-8C18-CEB25C22C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Sanket Mohapatra</dc:creator>
  <cp:keywords/>
  <cp:lastModifiedBy>Mitaaly Naidu</cp:lastModifiedBy>
  <cp:revision>14</cp:revision>
  <dcterms:created xsi:type="dcterms:W3CDTF">2020-10-17T07:42:00Z</dcterms:created>
  <dcterms:modified xsi:type="dcterms:W3CDTF">2020-10-20T11:20:00Z</dcterms:modified>
</cp:coreProperties>
</file>