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07F2C" w14:textId="77777777" w:rsidR="00421EDA" w:rsidRDefault="00421EDA" w:rsidP="00421EDA">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26B3D447" wp14:editId="5BE37066">
            <wp:simplePos x="0" y="0"/>
            <wp:positionH relativeFrom="margin">
              <wp:align>center</wp:align>
            </wp:positionH>
            <wp:positionV relativeFrom="paragraph">
              <wp:posOffset>132080</wp:posOffset>
            </wp:positionV>
            <wp:extent cx="904875" cy="906145"/>
            <wp:effectExtent l="0" t="0" r="9525" b="8255"/>
            <wp:wrapThrough wrapText="bothSides">
              <wp:wrapPolygon edited="0">
                <wp:start x="0" y="0"/>
                <wp:lineTo x="0" y="21343"/>
                <wp:lineTo x="21373" y="21343"/>
                <wp:lineTo x="21373"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a:graphicData>
            </a:graphic>
          </wp:anchor>
        </w:drawing>
      </w:r>
    </w:p>
    <w:p w14:paraId="6FBBB08B" w14:textId="77777777" w:rsidR="00421EDA" w:rsidRDefault="00421EDA" w:rsidP="00421EDA">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0E70C48D" w14:textId="77777777" w:rsidR="00421EDA" w:rsidRDefault="00421EDA" w:rsidP="00421EDA">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17311909" w14:textId="77777777" w:rsidR="00421EDA" w:rsidRDefault="00421EDA" w:rsidP="00421EDA">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519A3081" w14:textId="77777777" w:rsidR="00421EDA" w:rsidRDefault="00421EDA" w:rsidP="00421EDA">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2343B495" w14:textId="77777777" w:rsidR="00421EDA" w:rsidRDefault="00421EDA" w:rsidP="00421EDA">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1AC123F0" w14:textId="40C4CC38" w:rsidR="00421EDA" w:rsidRPr="00421EDA" w:rsidRDefault="00421EDA" w:rsidP="00421EDA">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7E8C7990" w14:textId="77777777" w:rsidR="00421EDA" w:rsidRDefault="00421EDA"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4637502E"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85584D">
        <w:rPr>
          <w:rFonts w:ascii="Times New Roman" w:eastAsia="Times New Roman" w:hAnsi="Times New Roman" w:cs="Times New Roman"/>
          <w:b/>
          <w:color w:val="222222"/>
          <w:sz w:val="28"/>
          <w:szCs w:val="28"/>
          <w:shd w:val="clear" w:color="auto" w:fill="FFFFFF"/>
          <w:lang w:val="en-GB" w:eastAsia="en-GB"/>
        </w:rPr>
        <w:t>Ma</w:t>
      </w:r>
      <w:r w:rsidR="00BD6E68">
        <w:rPr>
          <w:rFonts w:ascii="Times New Roman" w:eastAsia="Times New Roman" w:hAnsi="Times New Roman" w:cs="Times New Roman"/>
          <w:b/>
          <w:color w:val="222222"/>
          <w:sz w:val="28"/>
          <w:szCs w:val="28"/>
          <w:shd w:val="clear" w:color="auto" w:fill="FFFFFF"/>
          <w:lang w:val="en-GB" w:eastAsia="en-GB"/>
        </w:rPr>
        <w:t>y</w:t>
      </w:r>
      <w:r w:rsidR="00A47F48">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A47F48">
        <w:rPr>
          <w:rFonts w:ascii="Times New Roman" w:eastAsia="Times New Roman" w:hAnsi="Times New Roman" w:cs="Times New Roman"/>
          <w:b/>
          <w:color w:val="222222"/>
          <w:sz w:val="28"/>
          <w:szCs w:val="28"/>
          <w:shd w:val="clear" w:color="auto" w:fill="FFFFFF"/>
          <w:lang w:val="en-GB" w:eastAsia="en-GB"/>
        </w:rPr>
        <w:t>8</w:t>
      </w:r>
    </w:p>
    <w:p w14:paraId="1D3B2346" w14:textId="77777777" w:rsidR="00FC49EB" w:rsidRDefault="00FC49EB" w:rsidP="001D09C4">
      <w:pPr>
        <w:spacing w:after="0" w:line="240" w:lineRule="auto"/>
        <w:rPr>
          <w:rFonts w:ascii="Times New Roman" w:hAnsi="Times New Roman" w:cs="Times New Roman"/>
          <w:b/>
        </w:rPr>
      </w:pPr>
    </w:p>
    <w:p w14:paraId="3469D380" w14:textId="10962309" w:rsidR="00421EDA" w:rsidRPr="00A90CE8" w:rsidRDefault="00421EDA" w:rsidP="00421EDA">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13</w:t>
      </w:r>
      <w:r w:rsidRPr="00A90CE8">
        <w:rPr>
          <w:rFonts w:ascii="Times New Roman" w:eastAsia="Times New Roman" w:hAnsi="Times New Roman" w:cs="Times New Roman"/>
          <w:b/>
          <w:sz w:val="24"/>
          <w:szCs w:val="24"/>
        </w:rPr>
        <w:t>, 2018 | Ahmedabad</w:t>
      </w:r>
    </w:p>
    <w:p w14:paraId="5ADAEA0E" w14:textId="77777777" w:rsidR="00421EDA" w:rsidRPr="00BA7810" w:rsidRDefault="00421EDA" w:rsidP="00421EDA">
      <w:pPr>
        <w:spacing w:after="0" w:line="240" w:lineRule="auto"/>
        <w:jc w:val="both"/>
        <w:rPr>
          <w:rFonts w:ascii="Times New Roman" w:hAnsi="Times New Roman" w:cs="Times New Roman"/>
          <w:bCs/>
          <w:lang w:val="en-US"/>
        </w:rPr>
      </w:pPr>
      <w:r w:rsidRPr="00BA7810">
        <w:rPr>
          <w:rFonts w:ascii="Times New Roman" w:hAnsi="Times New Roman" w:cs="Times New Roman"/>
          <w:bCs/>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required for policy making. Towards this objective, IIMA introduced the BIES from May 2017. The questionnaire of BIES is finalized based on the detailed feedback received from the industry, academicians and policy makers. A copy of the questionnaire is enclosed for information. </w:t>
      </w:r>
    </w:p>
    <w:p w14:paraId="1B51FB26" w14:textId="77777777" w:rsidR="00421EDA" w:rsidRPr="00BA7810" w:rsidRDefault="00421EDA" w:rsidP="00421EDA">
      <w:pPr>
        <w:spacing w:after="0" w:line="240" w:lineRule="auto"/>
        <w:jc w:val="both"/>
        <w:rPr>
          <w:rFonts w:ascii="Times New Roman" w:hAnsi="Times New Roman" w:cs="Times New Roman"/>
          <w:bCs/>
          <w:lang w:val="en-US"/>
        </w:rPr>
      </w:pPr>
    </w:p>
    <w:p w14:paraId="331C8F09" w14:textId="77777777" w:rsidR="00421EDA" w:rsidRPr="00BA7810" w:rsidRDefault="00421EDA" w:rsidP="00421EDA">
      <w:pPr>
        <w:spacing w:after="0" w:line="240" w:lineRule="auto"/>
        <w:jc w:val="both"/>
        <w:rPr>
          <w:rFonts w:ascii="Times New Roman" w:hAnsi="Times New Roman" w:cs="Times New Roman"/>
          <w:bCs/>
          <w:lang w:val="en-US"/>
        </w:rPr>
      </w:pPr>
      <w:r w:rsidRPr="00BA7810">
        <w:rPr>
          <w:rFonts w:ascii="Times New Roman" w:hAnsi="Times New Roman" w:cs="Times New Roman"/>
          <w:bCs/>
          <w:lang w:val="en-US"/>
        </w:rPr>
        <w:t>Companies, mostly in the manufacturing sector, are selected based on certain sampling criteria from the list of companies as available with the Ministry of Corpo</w:t>
      </w:r>
      <w:r>
        <w:rPr>
          <w:rFonts w:ascii="Times New Roman" w:hAnsi="Times New Roman" w:cs="Times New Roman"/>
          <w:bCs/>
          <w:lang w:val="en-US"/>
        </w:rPr>
        <w:t>rate Affairs (MCA). BIES - April 2018 is the 12</w:t>
      </w:r>
      <w:r w:rsidRPr="00E66E40">
        <w:rPr>
          <w:rFonts w:ascii="Times New Roman" w:hAnsi="Times New Roman" w:cs="Times New Roman"/>
          <w:bCs/>
          <w:vertAlign w:val="superscript"/>
          <w:lang w:val="en-US"/>
        </w:rPr>
        <w:t>th</w:t>
      </w:r>
      <w:r w:rsidRPr="00BA7810">
        <w:rPr>
          <w:rFonts w:ascii="Times New Roman" w:hAnsi="Times New Roman" w:cs="Times New Roman"/>
          <w:bCs/>
          <w:lang w:val="en-US"/>
        </w:rPr>
        <w:t xml:space="preserve"> round of the Survey. These results are based on the responses of 1941 companies.  </w:t>
      </w:r>
    </w:p>
    <w:p w14:paraId="6EF7D316" w14:textId="77777777" w:rsidR="00421EDA" w:rsidRDefault="00421EDA" w:rsidP="001D09C4">
      <w:pPr>
        <w:spacing w:after="0" w:line="240" w:lineRule="auto"/>
        <w:rPr>
          <w:rFonts w:ascii="Times New Roman" w:hAnsi="Times New Roman" w:cs="Times New Roman"/>
          <w:b/>
        </w:rPr>
      </w:pPr>
    </w:p>
    <w:p w14:paraId="354A3479" w14:textId="0FBBA384"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110298E0" w14:textId="2BF320D1" w:rsidR="00FC49EB" w:rsidRPr="008D6D83" w:rsidRDefault="002B7E20" w:rsidP="00FC49EB">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w:t>
      </w:r>
      <w:proofErr w:type="gramStart"/>
      <w:r w:rsidRPr="008D6D83">
        <w:rPr>
          <w:rFonts w:ascii="Times New Roman" w:hAnsi="Times New Roman" w:cs="Times New Roman"/>
          <w:bCs/>
        </w:rPr>
        <w:t>ahead</w:t>
      </w:r>
      <w:proofErr w:type="gramEnd"/>
      <w:r w:rsidRPr="008D6D83">
        <w:rPr>
          <w:rFonts w:ascii="Times New Roman" w:hAnsi="Times New Roman" w:cs="Times New Roman"/>
          <w:bCs/>
        </w:rPr>
        <w:t xml:space="preserve"> b</w:t>
      </w:r>
      <w:r w:rsidR="001D09C4" w:rsidRPr="008D6D83">
        <w:rPr>
          <w:rFonts w:ascii="Times New Roman" w:hAnsi="Times New Roman" w:cs="Times New Roman"/>
          <w:bCs/>
        </w:rPr>
        <w:t>usiness inflation expectation</w:t>
      </w:r>
      <w:r w:rsidR="00655AF8" w:rsidRPr="008D6D83">
        <w:rPr>
          <w:rFonts w:ascii="Times New Roman" w:hAnsi="Times New Roman" w:cs="Times New Roman"/>
          <w:bCs/>
        </w:rPr>
        <w:t xml:space="preserve"> in </w:t>
      </w:r>
      <w:r w:rsidR="00021AB1">
        <w:rPr>
          <w:rFonts w:ascii="Times New Roman" w:hAnsi="Times New Roman" w:cs="Times New Roman"/>
          <w:bCs/>
        </w:rPr>
        <w:t>Ma</w:t>
      </w:r>
      <w:r w:rsidR="00BD6E68">
        <w:rPr>
          <w:rFonts w:ascii="Times New Roman" w:hAnsi="Times New Roman" w:cs="Times New Roman"/>
          <w:bCs/>
        </w:rPr>
        <w:t>y</w:t>
      </w:r>
      <w:r w:rsidR="00A47F48" w:rsidRPr="008D6D83">
        <w:rPr>
          <w:rFonts w:ascii="Times New Roman" w:hAnsi="Times New Roman" w:cs="Times New Roman"/>
          <w:bCs/>
        </w:rPr>
        <w:t xml:space="preserve"> </w:t>
      </w:r>
      <w:r w:rsidR="00655AF8" w:rsidRPr="008D6D83">
        <w:rPr>
          <w:rFonts w:ascii="Times New Roman" w:hAnsi="Times New Roman" w:cs="Times New Roman"/>
          <w:bCs/>
        </w:rPr>
        <w:t>201</w:t>
      </w:r>
      <w:r w:rsidR="00A47F48" w:rsidRPr="008D6D83">
        <w:rPr>
          <w:rFonts w:ascii="Times New Roman" w:hAnsi="Times New Roman" w:cs="Times New Roman"/>
          <w:bCs/>
        </w:rPr>
        <w:t>8</w:t>
      </w:r>
      <w:r w:rsidR="001D09C4" w:rsidRPr="008D6D83">
        <w:rPr>
          <w:rFonts w:ascii="Times New Roman" w:hAnsi="Times New Roman" w:cs="Times New Roman"/>
          <w:bCs/>
        </w:rPr>
        <w:t xml:space="preserve">, as estimated from the mean probability distribution of unit cost increase, </w:t>
      </w:r>
      <w:r w:rsidR="00117EA6" w:rsidRPr="008D6D83">
        <w:rPr>
          <w:rFonts w:ascii="Times New Roman" w:hAnsi="Times New Roman" w:cs="Times New Roman"/>
          <w:bCs/>
        </w:rPr>
        <w:t>is</w:t>
      </w:r>
      <w:r w:rsidR="00B85782" w:rsidRPr="008D6D83">
        <w:rPr>
          <w:rFonts w:ascii="Times New Roman" w:hAnsi="Times New Roman" w:cs="Times New Roman"/>
          <w:bCs/>
        </w:rPr>
        <w:t xml:space="preserve"> placed at </w:t>
      </w:r>
      <w:r w:rsidR="002C2158">
        <w:rPr>
          <w:rFonts w:ascii="Times New Roman" w:hAnsi="Times New Roman" w:cs="Times New Roman"/>
          <w:bCs/>
        </w:rPr>
        <w:t>4.1</w:t>
      </w:r>
      <w:r w:rsidR="00021AB1">
        <w:rPr>
          <w:rFonts w:ascii="Times New Roman" w:hAnsi="Times New Roman" w:cs="Times New Roman"/>
          <w:bCs/>
        </w:rPr>
        <w:t>%</w:t>
      </w:r>
      <w:r w:rsidR="00F45E2A">
        <w:rPr>
          <w:rFonts w:ascii="Times New Roman" w:hAnsi="Times New Roman" w:cs="Times New Roman"/>
          <w:bCs/>
        </w:rPr>
        <w:t>. Inflation expectations</w:t>
      </w:r>
      <w:r w:rsidR="0061519C">
        <w:rPr>
          <w:rFonts w:ascii="Times New Roman" w:hAnsi="Times New Roman" w:cs="Times New Roman"/>
          <w:bCs/>
        </w:rPr>
        <w:t xml:space="preserve"> </w:t>
      </w:r>
      <w:r w:rsidR="002C2158">
        <w:rPr>
          <w:rFonts w:ascii="Times New Roman" w:hAnsi="Times New Roman" w:cs="Times New Roman"/>
          <w:bCs/>
        </w:rPr>
        <w:t>remained above 4% for the last two consecutive months</w:t>
      </w:r>
      <w:r w:rsidR="000B078A">
        <w:rPr>
          <w:rFonts w:ascii="Times New Roman" w:hAnsi="Times New Roman" w:cs="Times New Roman"/>
          <w:bCs/>
        </w:rPr>
        <w:t xml:space="preserve"> (</w:t>
      </w:r>
      <w:r w:rsidR="008D6D83" w:rsidRPr="008D6D83">
        <w:rPr>
          <w:rFonts w:ascii="Times New Roman" w:hAnsi="Times New Roman" w:cs="Times New Roman"/>
          <w:bCs/>
        </w:rPr>
        <w:t>Chart 1</w:t>
      </w:r>
      <w:r w:rsidR="000B078A">
        <w:rPr>
          <w:rFonts w:ascii="Times New Roman" w:hAnsi="Times New Roman" w:cs="Times New Roman"/>
          <w:bCs/>
        </w:rPr>
        <w:t>)</w:t>
      </w:r>
      <w:r w:rsidR="008D6D83" w:rsidRPr="008D6D83">
        <w:rPr>
          <w:rFonts w:ascii="Times New Roman" w:hAnsi="Times New Roman" w:cs="Times New Roman"/>
          <w:bCs/>
        </w:rPr>
        <w:t>.</w:t>
      </w:r>
      <w:r w:rsidR="0086778C" w:rsidRPr="008D6D83">
        <w:rPr>
          <w:rFonts w:ascii="Times New Roman" w:hAnsi="Times New Roman" w:cs="Times New Roman"/>
          <w:bCs/>
        </w:rPr>
        <w:t xml:space="preserve"> </w:t>
      </w:r>
      <w:r w:rsidR="00655AF8" w:rsidRPr="008D6D83">
        <w:rPr>
          <w:rFonts w:ascii="Times New Roman" w:hAnsi="Times New Roman" w:cs="Times New Roman"/>
          <w:bCs/>
        </w:rPr>
        <w:t xml:space="preserve"> </w:t>
      </w:r>
    </w:p>
    <w:p w14:paraId="3A77DB55" w14:textId="77777777" w:rsidR="00FC49EB" w:rsidRPr="00FC49EB" w:rsidRDefault="00FC49EB" w:rsidP="00FC49EB">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4B7E83C9" w14:textId="493879D7" w:rsidR="001D09C4" w:rsidRPr="00FC49EB" w:rsidRDefault="001D09C4" w:rsidP="00FC49EB">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1C51A0">
        <w:rPr>
          <w:rFonts w:ascii="Times New Roman" w:hAnsi="Times New Roman" w:cs="Times New Roman"/>
          <w:bCs/>
        </w:rPr>
        <w:t>s</w:t>
      </w:r>
      <w:r w:rsidR="00D3337A">
        <w:rPr>
          <w:rFonts w:ascii="Times New Roman" w:hAnsi="Times New Roman" w:cs="Times New Roman"/>
          <w:bCs/>
        </w:rPr>
        <w:t xml:space="preserve"> in </w:t>
      </w:r>
      <w:r w:rsidR="00BD6E68">
        <w:rPr>
          <w:rFonts w:ascii="Times New Roman" w:hAnsi="Times New Roman" w:cs="Times New Roman"/>
          <w:bCs/>
        </w:rPr>
        <w:t>May</w:t>
      </w:r>
      <w:r w:rsidR="001A6746">
        <w:rPr>
          <w:rFonts w:ascii="Times New Roman" w:hAnsi="Times New Roman" w:cs="Times New Roman"/>
          <w:bCs/>
        </w:rPr>
        <w:t xml:space="preserve"> 2018</w:t>
      </w:r>
      <w:r w:rsidRPr="00FC49EB">
        <w:rPr>
          <w:rFonts w:ascii="Times New Roman" w:hAnsi="Times New Roman" w:cs="Times New Roman"/>
          <w:bCs/>
        </w:rPr>
        <w:t xml:space="preserve">, as captured by the </w:t>
      </w:r>
      <w:r w:rsidR="00166A4E">
        <w:rPr>
          <w:rFonts w:ascii="Times New Roman" w:hAnsi="Times New Roman" w:cs="Times New Roman"/>
          <w:bCs/>
        </w:rPr>
        <w:t xml:space="preserve">square root of the </w:t>
      </w:r>
      <w:r w:rsidR="00231EFD">
        <w:rPr>
          <w:rFonts w:ascii="Times New Roman" w:hAnsi="Times New Roman" w:cs="Times New Roman"/>
          <w:bCs/>
        </w:rPr>
        <w:t xml:space="preserve">average </w:t>
      </w:r>
      <w:r w:rsidR="00166A4E">
        <w:rPr>
          <w:rFonts w:ascii="Times New Roman" w:hAnsi="Times New Roman" w:cs="Times New Roman"/>
          <w:bCs/>
        </w:rPr>
        <w:t>variance o</w:t>
      </w:r>
      <w:r w:rsidRPr="00FC49EB">
        <w:rPr>
          <w:rFonts w:ascii="Times New Roman" w:hAnsi="Times New Roman" w:cs="Times New Roman"/>
          <w:bCs/>
        </w:rPr>
        <w:t xml:space="preserve">f the </w:t>
      </w:r>
      <w:r w:rsidR="00C96C66">
        <w:rPr>
          <w:rFonts w:ascii="Times New Roman" w:hAnsi="Times New Roman" w:cs="Times New Roman"/>
          <w:bCs/>
        </w:rPr>
        <w:t xml:space="preserve">individual </w:t>
      </w:r>
      <w:r w:rsidRPr="00FC49EB">
        <w:rPr>
          <w:rFonts w:ascii="Times New Roman" w:hAnsi="Times New Roman" w:cs="Times New Roman"/>
          <w:bCs/>
        </w:rPr>
        <w:t>mean probability distribution</w:t>
      </w:r>
      <w:r w:rsidR="00166A4E">
        <w:rPr>
          <w:rFonts w:ascii="Times New Roman" w:hAnsi="Times New Roman" w:cs="Times New Roman"/>
          <w:bCs/>
        </w:rPr>
        <w:t>s</w:t>
      </w:r>
      <w:r w:rsidR="00B215BA">
        <w:rPr>
          <w:rFonts w:ascii="Times New Roman" w:hAnsi="Times New Roman" w:cs="Times New Roman"/>
          <w:bCs/>
        </w:rPr>
        <w:t>,</w:t>
      </w:r>
      <w:r w:rsidRPr="00FC49EB">
        <w:rPr>
          <w:rFonts w:ascii="Times New Roman" w:hAnsi="Times New Roman" w:cs="Times New Roman"/>
          <w:bCs/>
        </w:rPr>
        <w:t xml:space="preserve"> </w:t>
      </w:r>
      <w:r w:rsidR="00C05138">
        <w:rPr>
          <w:rFonts w:ascii="Times New Roman" w:hAnsi="Times New Roman" w:cs="Times New Roman"/>
          <w:bCs/>
        </w:rPr>
        <w:t>has</w:t>
      </w:r>
      <w:r w:rsidR="0061519C">
        <w:rPr>
          <w:rFonts w:ascii="Times New Roman" w:hAnsi="Times New Roman" w:cs="Times New Roman"/>
          <w:bCs/>
        </w:rPr>
        <w:t xml:space="preserve"> marginally declined </w:t>
      </w:r>
      <w:r w:rsidR="00C05138">
        <w:rPr>
          <w:rFonts w:ascii="Times New Roman" w:hAnsi="Times New Roman" w:cs="Times New Roman"/>
          <w:bCs/>
        </w:rPr>
        <w:t>to</w:t>
      </w:r>
      <w:r w:rsidRPr="00FC49EB">
        <w:rPr>
          <w:rFonts w:ascii="Times New Roman" w:hAnsi="Times New Roman" w:cs="Times New Roman"/>
          <w:bCs/>
        </w:rPr>
        <w:t xml:space="preserve"> </w:t>
      </w:r>
      <w:r w:rsidR="00214718">
        <w:rPr>
          <w:rFonts w:ascii="Times New Roman" w:hAnsi="Times New Roman" w:cs="Times New Roman"/>
          <w:bCs/>
        </w:rPr>
        <w:t>2.14</w:t>
      </w:r>
      <w:r w:rsidRPr="00FC49EB">
        <w:rPr>
          <w:rFonts w:ascii="Times New Roman" w:hAnsi="Times New Roman" w:cs="Times New Roman"/>
          <w:bCs/>
        </w:rPr>
        <w:t>%</w:t>
      </w:r>
      <w:r w:rsidR="00B215BA">
        <w:rPr>
          <w:rFonts w:ascii="Times New Roman" w:hAnsi="Times New Roman" w:cs="Times New Roman"/>
          <w:bCs/>
        </w:rPr>
        <w:t xml:space="preserve"> </w:t>
      </w:r>
      <w:r w:rsidR="00C05138">
        <w:rPr>
          <w:rFonts w:ascii="Times New Roman" w:hAnsi="Times New Roman" w:cs="Times New Roman"/>
          <w:bCs/>
        </w:rPr>
        <w:t>from</w:t>
      </w:r>
      <w:r w:rsidR="0061519C">
        <w:rPr>
          <w:rFonts w:ascii="Times New Roman" w:hAnsi="Times New Roman" w:cs="Times New Roman"/>
          <w:bCs/>
        </w:rPr>
        <w:t xml:space="preserve"> 2.24% observed in April 2018</w:t>
      </w:r>
      <w:r w:rsidRPr="00FC49EB">
        <w:rPr>
          <w:rFonts w:ascii="Times New Roman" w:hAnsi="Times New Roman" w:cs="Times New Roman"/>
          <w:bCs/>
        </w:rPr>
        <w:t>.</w:t>
      </w:r>
    </w:p>
    <w:p w14:paraId="4A3C489B" w14:textId="77777777" w:rsidR="001D09C4" w:rsidRDefault="001D09C4" w:rsidP="001D09C4">
      <w:pPr>
        <w:spacing w:after="0" w:line="240" w:lineRule="auto"/>
        <w:jc w:val="center"/>
        <w:rPr>
          <w:rFonts w:ascii="Times New Roman" w:hAnsi="Times New Roman" w:cs="Times New Roman"/>
          <w:b/>
        </w:rPr>
      </w:pPr>
    </w:p>
    <w:p w14:paraId="750894E7" w14:textId="0DF781A4" w:rsidR="00B70FC1" w:rsidRDefault="001D09C4" w:rsidP="00421EDA">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 xml:space="preserve">One year </w:t>
      </w:r>
      <w:proofErr w:type="gramStart"/>
      <w:r w:rsidR="00FB3733" w:rsidRPr="00FB3733">
        <w:rPr>
          <w:rFonts w:ascii="Times New Roman" w:hAnsi="Times New Roman" w:cs="Times New Roman"/>
          <w:b/>
          <w:bCs/>
        </w:rPr>
        <w:t>ahead</w:t>
      </w:r>
      <w:proofErr w:type="gramEnd"/>
      <w:r w:rsidR="00FB3733" w:rsidRPr="00FB3733">
        <w:rPr>
          <w:rFonts w:ascii="Times New Roman" w:hAnsi="Times New Roman" w:cs="Times New Roman"/>
          <w:b/>
          <w:bCs/>
        </w:rPr>
        <w:t xml:space="preserve">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2666EEEF" w14:textId="6B352420" w:rsidR="00CE7A64" w:rsidRDefault="006F078B" w:rsidP="00421EDA">
      <w:pPr>
        <w:spacing w:after="0" w:line="240" w:lineRule="auto"/>
        <w:jc w:val="center"/>
        <w:rPr>
          <w:noProof/>
          <w:lang w:val="en-US"/>
        </w:rPr>
      </w:pPr>
      <w:r>
        <w:rPr>
          <w:noProof/>
          <w:lang w:val="en-US"/>
        </w:rPr>
        <w:drawing>
          <wp:inline distT="0" distB="0" distL="0" distR="0" wp14:anchorId="6CA968FD" wp14:editId="21800FA5">
            <wp:extent cx="5372100" cy="256222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0" w:name="_GoBack"/>
      <w:bookmarkEnd w:id="0"/>
    </w:p>
    <w:p w14:paraId="32E564A0" w14:textId="448535B1"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lastRenderedPageBreak/>
        <w:t xml:space="preserve">B. </w:t>
      </w:r>
      <w:r w:rsidR="00AA63A1" w:rsidRPr="004C6586">
        <w:rPr>
          <w:rFonts w:ascii="Times New Roman" w:hAnsi="Times New Roman" w:cs="Times New Roman"/>
          <w:b/>
          <w:bCs/>
        </w:rPr>
        <w:t>Costs</w:t>
      </w:r>
    </w:p>
    <w:p w14:paraId="160018B0" w14:textId="77777777" w:rsidR="00E0056C" w:rsidRDefault="00E0056C" w:rsidP="00AA63A1">
      <w:pPr>
        <w:spacing w:after="0" w:line="240" w:lineRule="auto"/>
        <w:rPr>
          <w:rFonts w:ascii="Times New Roman" w:hAnsi="Times New Roman" w:cs="Times New Roman"/>
          <w:b/>
          <w:bCs/>
        </w:rPr>
      </w:pPr>
    </w:p>
    <w:p w14:paraId="11671D27" w14:textId="345E9B2B" w:rsidR="006375AE" w:rsidRPr="00FC49EB" w:rsidRDefault="006375AE" w:rsidP="006375AE">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Regarding</w:t>
      </w:r>
      <w:r w:rsidRPr="00FC49EB">
        <w:rPr>
          <w:rFonts w:ascii="Times New Roman" w:hAnsi="Times New Roman" w:cs="Times New Roman"/>
        </w:rPr>
        <w:t xml:space="preserve"> cost perceptions</w:t>
      </w:r>
      <w:r>
        <w:rPr>
          <w:rFonts w:ascii="Times New Roman" w:hAnsi="Times New Roman" w:cs="Times New Roman"/>
        </w:rPr>
        <w:t>, the data in Ma</w:t>
      </w:r>
      <w:r w:rsidR="00BD6E68">
        <w:rPr>
          <w:rFonts w:ascii="Times New Roman" w:hAnsi="Times New Roman" w:cs="Times New Roman"/>
        </w:rPr>
        <w:t>y</w:t>
      </w:r>
      <w:r>
        <w:rPr>
          <w:rFonts w:ascii="Times New Roman" w:hAnsi="Times New Roman" w:cs="Times New Roman"/>
        </w:rPr>
        <w:t xml:space="preserve"> 2018 indicate</w:t>
      </w:r>
      <w:r w:rsidR="00B24D06">
        <w:rPr>
          <w:rFonts w:ascii="Times New Roman" w:hAnsi="Times New Roman" w:cs="Times New Roman"/>
        </w:rPr>
        <w:t>s</w:t>
      </w:r>
      <w:r>
        <w:rPr>
          <w:rFonts w:ascii="Times New Roman" w:hAnsi="Times New Roman" w:cs="Times New Roman"/>
        </w:rPr>
        <w:t xml:space="preserve"> </w:t>
      </w:r>
      <w:r w:rsidR="00B24D06">
        <w:rPr>
          <w:rFonts w:ascii="Times New Roman" w:hAnsi="Times New Roman" w:cs="Times New Roman"/>
        </w:rPr>
        <w:t>further</w:t>
      </w:r>
      <w:r>
        <w:rPr>
          <w:rFonts w:ascii="Times New Roman" w:hAnsi="Times New Roman" w:cs="Times New Roman"/>
        </w:rPr>
        <w:t xml:space="preserve"> increase in costs.</w:t>
      </w:r>
      <w:r w:rsidRPr="00FC49EB">
        <w:rPr>
          <w:rFonts w:ascii="Times New Roman" w:hAnsi="Times New Roman" w:cs="Times New Roman"/>
        </w:rPr>
        <w:t xml:space="preserve"> </w:t>
      </w:r>
    </w:p>
    <w:p w14:paraId="6A712361" w14:textId="77777777" w:rsidR="006375AE" w:rsidRDefault="006375AE" w:rsidP="006375AE">
      <w:pPr>
        <w:pStyle w:val="ListParagraph"/>
        <w:spacing w:after="0" w:line="240" w:lineRule="auto"/>
        <w:jc w:val="both"/>
        <w:rPr>
          <w:rFonts w:ascii="Times New Roman" w:hAnsi="Times New Roman" w:cs="Times New Roman"/>
        </w:rPr>
      </w:pPr>
    </w:p>
    <w:p w14:paraId="02A66E43" w14:textId="293EBCDB" w:rsidR="00FC49EB" w:rsidRDefault="00151017" w:rsidP="00FC49EB">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Regarding</w:t>
      </w:r>
      <w:r w:rsidR="00AA63A1" w:rsidRPr="00FC49EB">
        <w:rPr>
          <w:rFonts w:ascii="Times New Roman" w:hAnsi="Times New Roman" w:cs="Times New Roman"/>
        </w:rPr>
        <w:t xml:space="preserve"> cost perceptions, </w:t>
      </w:r>
      <w:r w:rsidR="003B4A6B">
        <w:rPr>
          <w:rFonts w:ascii="Times New Roman" w:hAnsi="Times New Roman" w:cs="Times New Roman"/>
        </w:rPr>
        <w:t>around</w:t>
      </w:r>
      <w:r w:rsidR="00AA63A1" w:rsidRPr="00FC49EB">
        <w:rPr>
          <w:rFonts w:ascii="Times New Roman" w:hAnsi="Times New Roman" w:cs="Times New Roman"/>
        </w:rPr>
        <w:t xml:space="preserve"> </w:t>
      </w:r>
      <w:r w:rsidR="00F45E2A">
        <w:rPr>
          <w:rFonts w:ascii="Times New Roman" w:hAnsi="Times New Roman" w:cs="Times New Roman"/>
        </w:rPr>
        <w:t>3/5</w:t>
      </w:r>
      <w:r w:rsidR="00F45E2A" w:rsidRPr="00F45E2A">
        <w:rPr>
          <w:rFonts w:ascii="Times New Roman" w:hAnsi="Times New Roman" w:cs="Times New Roman"/>
          <w:vertAlign w:val="superscript"/>
        </w:rPr>
        <w:t>th</w:t>
      </w:r>
      <w:r w:rsidR="00F45E2A">
        <w:rPr>
          <w:rFonts w:ascii="Times New Roman" w:hAnsi="Times New Roman" w:cs="Times New Roman"/>
        </w:rPr>
        <w:t xml:space="preserve"> of firms</w:t>
      </w:r>
      <w:r w:rsidR="00AA63A1" w:rsidRPr="00FC49EB">
        <w:rPr>
          <w:rFonts w:ascii="Times New Roman" w:hAnsi="Times New Roman" w:cs="Times New Roman"/>
        </w:rPr>
        <w:t xml:space="preserve"> </w:t>
      </w:r>
      <w:r w:rsidR="003B4A6B">
        <w:rPr>
          <w:rFonts w:ascii="Times New Roman" w:hAnsi="Times New Roman" w:cs="Times New Roman"/>
        </w:rPr>
        <w:t xml:space="preserve">in </w:t>
      </w:r>
      <w:r w:rsidR="006375AE">
        <w:rPr>
          <w:rFonts w:ascii="Times New Roman" w:hAnsi="Times New Roman" w:cs="Times New Roman"/>
        </w:rPr>
        <w:t>Ma</w:t>
      </w:r>
      <w:r w:rsidR="00F45E2A">
        <w:rPr>
          <w:rFonts w:ascii="Times New Roman" w:hAnsi="Times New Roman" w:cs="Times New Roman"/>
        </w:rPr>
        <w:t>y</w:t>
      </w:r>
      <w:r w:rsidR="004B0842">
        <w:rPr>
          <w:rFonts w:ascii="Times New Roman" w:hAnsi="Times New Roman" w:cs="Times New Roman"/>
        </w:rPr>
        <w:t xml:space="preserve"> 2018</w:t>
      </w:r>
      <w:r w:rsidR="003B4A6B">
        <w:rPr>
          <w:rFonts w:ascii="Times New Roman" w:hAnsi="Times New Roman" w:cs="Times New Roman"/>
        </w:rPr>
        <w:t xml:space="preserve"> </w:t>
      </w:r>
      <w:r w:rsidR="00AA63A1" w:rsidRPr="00FC49EB">
        <w:rPr>
          <w:rFonts w:ascii="Times New Roman" w:hAnsi="Times New Roman" w:cs="Times New Roman"/>
        </w:rPr>
        <w:t>reported that increase</w:t>
      </w:r>
      <w:r w:rsidR="00F046DB">
        <w:rPr>
          <w:rFonts w:ascii="Times New Roman" w:hAnsi="Times New Roman" w:cs="Times New Roman"/>
        </w:rPr>
        <w:t xml:space="preserve"> in costs</w:t>
      </w:r>
      <w:r w:rsidR="00AA63A1" w:rsidRPr="00FC49EB">
        <w:rPr>
          <w:rFonts w:ascii="Times New Roman" w:hAnsi="Times New Roman" w:cs="Times New Roman"/>
        </w:rPr>
        <w:t xml:space="preserve"> has </w:t>
      </w:r>
      <w:r w:rsidR="000E4289">
        <w:rPr>
          <w:rFonts w:ascii="Times New Roman" w:hAnsi="Times New Roman" w:cs="Times New Roman"/>
        </w:rPr>
        <w:t xml:space="preserve">been more </w:t>
      </w:r>
      <w:r w:rsidR="00AA63A1" w:rsidRPr="00FC49EB">
        <w:rPr>
          <w:rFonts w:ascii="Times New Roman" w:hAnsi="Times New Roman" w:cs="Times New Roman"/>
        </w:rPr>
        <w:t xml:space="preserve">than 3% during </w:t>
      </w:r>
      <w:r w:rsidR="00B85782">
        <w:rPr>
          <w:rFonts w:ascii="Times New Roman" w:hAnsi="Times New Roman" w:cs="Times New Roman"/>
        </w:rPr>
        <w:t xml:space="preserve">the </w:t>
      </w:r>
      <w:r w:rsidR="00AA63A1" w:rsidRPr="00FC49EB">
        <w:rPr>
          <w:rFonts w:ascii="Times New Roman" w:hAnsi="Times New Roman" w:cs="Times New Roman"/>
        </w:rPr>
        <w:t xml:space="preserve">last one year (Chart </w:t>
      </w:r>
      <w:r w:rsidR="00692450">
        <w:rPr>
          <w:rFonts w:ascii="Times New Roman" w:hAnsi="Times New Roman" w:cs="Times New Roman"/>
        </w:rPr>
        <w:t>2</w:t>
      </w:r>
      <w:r w:rsidR="00AA63A1" w:rsidRPr="00FC49EB">
        <w:rPr>
          <w:rFonts w:ascii="Times New Roman" w:hAnsi="Times New Roman" w:cs="Times New Roman"/>
        </w:rPr>
        <w:t xml:space="preserve">). </w:t>
      </w:r>
      <w:r w:rsidR="00BB2EDA">
        <w:rPr>
          <w:rFonts w:ascii="Times New Roman" w:hAnsi="Times New Roman" w:cs="Times New Roman"/>
        </w:rPr>
        <w:t xml:space="preserve">This proportion has </w:t>
      </w:r>
      <w:r w:rsidR="00F45E2A">
        <w:rPr>
          <w:rFonts w:ascii="Times New Roman" w:hAnsi="Times New Roman" w:cs="Times New Roman"/>
        </w:rPr>
        <w:t>been increasing during last 3 months</w:t>
      </w:r>
      <w:r w:rsidR="00687378">
        <w:rPr>
          <w:rFonts w:ascii="Times New Roman" w:hAnsi="Times New Roman" w:cs="Times New Roman"/>
        </w:rPr>
        <w:t>.</w:t>
      </w:r>
      <w:r w:rsidR="00F45E2A">
        <w:rPr>
          <w:rFonts w:ascii="Times New Roman" w:hAnsi="Times New Roman" w:cs="Times New Roman"/>
        </w:rPr>
        <w:t xml:space="preserve"> For the first time, around 1/4</w:t>
      </w:r>
      <w:r w:rsidR="00F45E2A" w:rsidRPr="00F45E2A">
        <w:rPr>
          <w:rFonts w:ascii="Times New Roman" w:hAnsi="Times New Roman" w:cs="Times New Roman"/>
          <w:vertAlign w:val="superscript"/>
        </w:rPr>
        <w:t>th</w:t>
      </w:r>
      <w:r w:rsidR="00F45E2A">
        <w:rPr>
          <w:rFonts w:ascii="Times New Roman" w:hAnsi="Times New Roman" w:cs="Times New Roman"/>
        </w:rPr>
        <w:t xml:space="preserve"> of the firms reported significant increase (by 6.1% to 10%) in costs</w:t>
      </w:r>
      <w:r w:rsidR="0061519C">
        <w:rPr>
          <w:rFonts w:ascii="Times New Roman" w:hAnsi="Times New Roman" w:cs="Times New Roman"/>
        </w:rPr>
        <w:t>.</w:t>
      </w:r>
      <w:r w:rsidR="00F45E2A">
        <w:rPr>
          <w:rFonts w:ascii="Times New Roman" w:hAnsi="Times New Roman" w:cs="Times New Roman"/>
        </w:rPr>
        <w:t xml:space="preserve"> </w:t>
      </w:r>
      <w:r w:rsidR="005D60C2">
        <w:rPr>
          <w:rFonts w:ascii="Times New Roman" w:hAnsi="Times New Roman" w:cs="Times New Roman"/>
        </w:rPr>
        <w:t xml:space="preserve"> </w:t>
      </w:r>
      <w:r w:rsidR="003B4A6B">
        <w:rPr>
          <w:rFonts w:ascii="Times New Roman" w:hAnsi="Times New Roman" w:cs="Times New Roman"/>
        </w:rPr>
        <w:t xml:space="preserve"> </w:t>
      </w:r>
    </w:p>
    <w:p w14:paraId="57D250F0" w14:textId="77777777" w:rsidR="00FC49EB" w:rsidRDefault="00FC49EB" w:rsidP="00FC49EB">
      <w:pPr>
        <w:pStyle w:val="ListParagraph"/>
        <w:spacing w:after="0" w:line="240" w:lineRule="auto"/>
        <w:jc w:val="both"/>
        <w:rPr>
          <w:rFonts w:ascii="Times New Roman" w:hAnsi="Times New Roman" w:cs="Times New Roman"/>
        </w:rPr>
      </w:pPr>
    </w:p>
    <w:p w14:paraId="4A09BD89" w14:textId="278811A1"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692450">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3330125D" w14:textId="77777777" w:rsidR="00D925B4" w:rsidRDefault="00D925B4" w:rsidP="00AA63A1">
      <w:pPr>
        <w:spacing w:after="0" w:line="240" w:lineRule="auto"/>
        <w:jc w:val="center"/>
        <w:rPr>
          <w:rFonts w:ascii="Times New Roman" w:hAnsi="Times New Roman" w:cs="Times New Roman"/>
          <w:b/>
          <w:bCs/>
          <w:lang w:val="en-US"/>
        </w:rPr>
      </w:pPr>
    </w:p>
    <w:p w14:paraId="07DF5855" w14:textId="4F200355" w:rsidR="00D925B4" w:rsidRDefault="007F35C1" w:rsidP="00AA63A1">
      <w:pPr>
        <w:spacing w:after="0" w:line="240" w:lineRule="auto"/>
        <w:jc w:val="center"/>
        <w:rPr>
          <w:noProof/>
          <w:lang w:val="en-US"/>
        </w:rPr>
      </w:pPr>
      <w:r>
        <w:rPr>
          <w:noProof/>
          <w:lang w:val="en-US"/>
        </w:rPr>
        <w:drawing>
          <wp:inline distT="0" distB="0" distL="0" distR="0" wp14:anchorId="1A2CBC7B" wp14:editId="00589DB8">
            <wp:extent cx="5133975" cy="21621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DE305A" w14:textId="77777777" w:rsidR="00273D5F" w:rsidRDefault="00273D5F" w:rsidP="00AA63A1">
      <w:pPr>
        <w:spacing w:after="0" w:line="240" w:lineRule="auto"/>
        <w:jc w:val="center"/>
        <w:rPr>
          <w:noProof/>
          <w:lang w:val="en-US"/>
        </w:rPr>
      </w:pPr>
    </w:p>
    <w:p w14:paraId="700B865B" w14:textId="2C64F5C9" w:rsidR="00AA63A1" w:rsidRDefault="00961726" w:rsidP="00AA63A1">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38C1A8BF" w14:textId="77777777" w:rsidR="00687378" w:rsidRDefault="00687378" w:rsidP="00AA63A1">
      <w:pPr>
        <w:spacing w:after="0" w:line="240" w:lineRule="auto"/>
        <w:jc w:val="both"/>
        <w:rPr>
          <w:rFonts w:ascii="Times New Roman" w:hAnsi="Times New Roman" w:cs="Times New Roman"/>
          <w:b/>
        </w:rPr>
      </w:pPr>
    </w:p>
    <w:p w14:paraId="49B1DD1E" w14:textId="1E088E5A" w:rsidR="003B4A6B" w:rsidRPr="003B4A6B" w:rsidRDefault="00413AF7" w:rsidP="003B4A6B">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28</w:t>
      </w:r>
      <w:r w:rsidR="00407044">
        <w:rPr>
          <w:rFonts w:ascii="Times New Roman" w:hAnsi="Times New Roman" w:cs="Times New Roman"/>
        </w:rPr>
        <w:t xml:space="preserve">% </w:t>
      </w:r>
      <w:r w:rsidR="00D005C5">
        <w:rPr>
          <w:rFonts w:ascii="Times New Roman" w:hAnsi="Times New Roman" w:cs="Times New Roman"/>
        </w:rPr>
        <w:t>of the firms</w:t>
      </w:r>
      <w:r w:rsidR="00407044">
        <w:rPr>
          <w:rFonts w:ascii="Times New Roman" w:hAnsi="Times New Roman" w:cs="Times New Roman"/>
        </w:rPr>
        <w:t xml:space="preserve"> </w:t>
      </w:r>
      <w:r w:rsidR="00AA63A1" w:rsidRPr="003F35DA">
        <w:rPr>
          <w:rFonts w:ascii="Times New Roman" w:hAnsi="Times New Roman" w:cs="Times New Roman"/>
        </w:rPr>
        <w:t xml:space="preserve">in the sample reported that sales are </w:t>
      </w:r>
      <w:r w:rsidR="0093664C">
        <w:rPr>
          <w:rFonts w:ascii="Times New Roman" w:hAnsi="Times New Roman" w:cs="Times New Roman"/>
        </w:rPr>
        <w:t>‘</w:t>
      </w:r>
      <w:r w:rsidR="00AA63A1" w:rsidRPr="003F35DA">
        <w:rPr>
          <w:rFonts w:ascii="Times New Roman" w:hAnsi="Times New Roman" w:cs="Times New Roman"/>
        </w:rPr>
        <w:t>much less than normal</w:t>
      </w:r>
      <w:r w:rsidR="0093664C">
        <w:rPr>
          <w:rFonts w:ascii="Times New Roman" w:hAnsi="Times New Roman" w:cs="Times New Roman"/>
        </w:rPr>
        <w:t>’</w:t>
      </w:r>
      <w:r w:rsidR="00FA2612">
        <w:rPr>
          <w:rStyle w:val="FootnoteReference"/>
          <w:rFonts w:ascii="Times New Roman" w:hAnsi="Times New Roman" w:cs="Times New Roman"/>
        </w:rPr>
        <w:footnoteReference w:id="1"/>
      </w:r>
      <w:r w:rsidR="00D005C5">
        <w:rPr>
          <w:rFonts w:ascii="Times New Roman" w:hAnsi="Times New Roman" w:cs="Times New Roman"/>
        </w:rPr>
        <w:t xml:space="preserve"> in </w:t>
      </w:r>
      <w:r>
        <w:rPr>
          <w:rFonts w:ascii="Times New Roman" w:hAnsi="Times New Roman" w:cs="Times New Roman"/>
        </w:rPr>
        <w:t>Ma</w:t>
      </w:r>
      <w:r w:rsidR="00B24D06">
        <w:rPr>
          <w:rFonts w:ascii="Times New Roman" w:hAnsi="Times New Roman" w:cs="Times New Roman"/>
        </w:rPr>
        <w:t>y</w:t>
      </w:r>
      <w:r w:rsidR="00D005C5">
        <w:rPr>
          <w:rFonts w:ascii="Times New Roman" w:hAnsi="Times New Roman" w:cs="Times New Roman"/>
        </w:rPr>
        <w:t xml:space="preserve"> 201</w:t>
      </w:r>
      <w:r w:rsidR="004B0842">
        <w:rPr>
          <w:rFonts w:ascii="Times New Roman" w:hAnsi="Times New Roman" w:cs="Times New Roman"/>
        </w:rPr>
        <w:t>8</w:t>
      </w:r>
      <w:r w:rsidR="00AA63A1" w:rsidRPr="003F35DA">
        <w:rPr>
          <w:rFonts w:ascii="Times New Roman" w:hAnsi="Times New Roman" w:cs="Times New Roman"/>
        </w:rPr>
        <w:t xml:space="preserve"> (Chart </w:t>
      </w:r>
      <w:r w:rsidR="00692450">
        <w:rPr>
          <w:rFonts w:ascii="Times New Roman" w:hAnsi="Times New Roman" w:cs="Times New Roman"/>
        </w:rPr>
        <w:t>3</w:t>
      </w:r>
      <w:r w:rsidR="00AA63A1" w:rsidRPr="003F35DA">
        <w:rPr>
          <w:rFonts w:ascii="Times New Roman" w:hAnsi="Times New Roman" w:cs="Times New Roman"/>
        </w:rPr>
        <w:t>).</w:t>
      </w:r>
      <w:r w:rsidR="003B4A6B">
        <w:rPr>
          <w:rFonts w:ascii="Times New Roman" w:hAnsi="Times New Roman" w:cs="Times New Roman"/>
        </w:rPr>
        <w:t xml:space="preserve"> Th</w:t>
      </w:r>
      <w:r w:rsidR="00D005C5">
        <w:rPr>
          <w:rFonts w:ascii="Times New Roman" w:hAnsi="Times New Roman" w:cs="Times New Roman"/>
        </w:rPr>
        <w:t>is</w:t>
      </w:r>
      <w:r w:rsidR="003B4A6B">
        <w:rPr>
          <w:rFonts w:ascii="Times New Roman" w:hAnsi="Times New Roman" w:cs="Times New Roman"/>
        </w:rPr>
        <w:t xml:space="preserve"> proportion</w:t>
      </w:r>
      <w:r w:rsidR="00407044">
        <w:rPr>
          <w:rFonts w:ascii="Times New Roman" w:hAnsi="Times New Roman" w:cs="Times New Roman"/>
        </w:rPr>
        <w:t xml:space="preserve"> </w:t>
      </w:r>
      <w:r w:rsidR="003B4A6B">
        <w:rPr>
          <w:rFonts w:ascii="Times New Roman" w:hAnsi="Times New Roman" w:cs="Times New Roman"/>
        </w:rPr>
        <w:t>has</w:t>
      </w:r>
      <w:r w:rsidR="00D005C5">
        <w:rPr>
          <w:rFonts w:ascii="Times New Roman" w:hAnsi="Times New Roman" w:cs="Times New Roman"/>
        </w:rPr>
        <w:t xml:space="preserve"> </w:t>
      </w:r>
      <w:r w:rsidR="00407044">
        <w:rPr>
          <w:rFonts w:ascii="Times New Roman" w:hAnsi="Times New Roman" w:cs="Times New Roman"/>
        </w:rPr>
        <w:t xml:space="preserve">been </w:t>
      </w:r>
      <w:r w:rsidR="004B0842">
        <w:rPr>
          <w:rFonts w:ascii="Times New Roman" w:hAnsi="Times New Roman" w:cs="Times New Roman"/>
        </w:rPr>
        <w:t xml:space="preserve">quite stable during </w:t>
      </w:r>
      <w:r w:rsidR="00407044">
        <w:rPr>
          <w:rFonts w:ascii="Times New Roman" w:hAnsi="Times New Roman" w:cs="Times New Roman"/>
        </w:rPr>
        <w:t xml:space="preserve">last </w:t>
      </w:r>
      <w:r w:rsidR="00B24D06">
        <w:rPr>
          <w:rFonts w:ascii="Times New Roman" w:hAnsi="Times New Roman" w:cs="Times New Roman"/>
        </w:rPr>
        <w:t>6</w:t>
      </w:r>
      <w:r w:rsidR="00407044">
        <w:rPr>
          <w:rFonts w:ascii="Times New Roman" w:hAnsi="Times New Roman" w:cs="Times New Roman"/>
        </w:rPr>
        <w:t xml:space="preserve"> consecutive months.</w:t>
      </w:r>
    </w:p>
    <w:p w14:paraId="052E492C" w14:textId="477CA688" w:rsidR="00AA63A1" w:rsidRPr="003F35DA" w:rsidRDefault="003B4A6B" w:rsidP="003B4A6B">
      <w:pPr>
        <w:pStyle w:val="ListParagraph"/>
        <w:spacing w:after="0" w:line="240" w:lineRule="auto"/>
        <w:jc w:val="both"/>
        <w:rPr>
          <w:rFonts w:ascii="Times New Roman" w:hAnsi="Times New Roman" w:cs="Times New Roman"/>
          <w:b/>
        </w:rPr>
      </w:pPr>
      <w:r>
        <w:rPr>
          <w:rFonts w:ascii="Times New Roman" w:hAnsi="Times New Roman" w:cs="Times New Roman"/>
        </w:rPr>
        <w:t xml:space="preserve"> </w:t>
      </w:r>
    </w:p>
    <w:p w14:paraId="2C653800" w14:textId="6656C50B" w:rsidR="001158B6" w:rsidRDefault="00B24D06" w:rsidP="001158B6">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For the first time, o</w:t>
      </w:r>
      <w:r w:rsidR="00B854C5" w:rsidRPr="00322887">
        <w:rPr>
          <w:rFonts w:ascii="Times New Roman" w:hAnsi="Times New Roman" w:cs="Times New Roman"/>
        </w:rPr>
        <w:t>ver</w:t>
      </w:r>
      <w:r w:rsidR="00FA2612" w:rsidRPr="00322887">
        <w:rPr>
          <w:rFonts w:ascii="Times New Roman" w:hAnsi="Times New Roman" w:cs="Times New Roman"/>
        </w:rPr>
        <w:t xml:space="preserve"> </w:t>
      </w:r>
      <w:r w:rsidR="001158B6" w:rsidRPr="00322887">
        <w:rPr>
          <w:rFonts w:ascii="Times New Roman" w:hAnsi="Times New Roman" w:cs="Times New Roman"/>
        </w:rPr>
        <w:t xml:space="preserve">half </w:t>
      </w:r>
      <w:r w:rsidR="00AA63A1" w:rsidRPr="00322887">
        <w:rPr>
          <w:rFonts w:ascii="Times New Roman" w:hAnsi="Times New Roman" w:cs="Times New Roman"/>
        </w:rPr>
        <w:t xml:space="preserve">of the firms </w:t>
      </w:r>
      <w:r w:rsidR="001158B6" w:rsidRPr="00322887">
        <w:rPr>
          <w:rFonts w:ascii="Times New Roman" w:hAnsi="Times New Roman" w:cs="Times New Roman"/>
        </w:rPr>
        <w:t>in the sample report</w:t>
      </w:r>
      <w:r>
        <w:rPr>
          <w:rFonts w:ascii="Times New Roman" w:hAnsi="Times New Roman" w:cs="Times New Roman"/>
        </w:rPr>
        <w:t>ed</w:t>
      </w:r>
      <w:r w:rsidR="00AA63A1" w:rsidRPr="00322887">
        <w:rPr>
          <w:rFonts w:ascii="Times New Roman" w:hAnsi="Times New Roman" w:cs="Times New Roman"/>
        </w:rPr>
        <w:t xml:space="preserve"> that sales levels are </w:t>
      </w:r>
      <w:r>
        <w:rPr>
          <w:rFonts w:ascii="Times New Roman" w:hAnsi="Times New Roman" w:cs="Times New Roman"/>
        </w:rPr>
        <w:t>becoming normal or greater than normal</w:t>
      </w:r>
      <w:r w:rsidR="00AA63A1" w:rsidRPr="00322887">
        <w:rPr>
          <w:rFonts w:ascii="Times New Roman" w:hAnsi="Times New Roman" w:cs="Times New Roman"/>
        </w:rPr>
        <w:t>.</w:t>
      </w:r>
      <w:r w:rsidR="00FA2612" w:rsidRPr="00322887">
        <w:rPr>
          <w:rFonts w:ascii="Times New Roman" w:hAnsi="Times New Roman" w:cs="Times New Roman"/>
        </w:rPr>
        <w:t xml:space="preserve"> </w:t>
      </w:r>
      <w:r w:rsidR="001158B6" w:rsidRPr="00322887">
        <w:rPr>
          <w:rFonts w:ascii="Times New Roman" w:hAnsi="Times New Roman" w:cs="Times New Roman"/>
        </w:rPr>
        <w:t>O</w:t>
      </w:r>
      <w:r w:rsidR="00655AF8" w:rsidRPr="00322887">
        <w:rPr>
          <w:rFonts w:ascii="Times New Roman" w:hAnsi="Times New Roman" w:cs="Times New Roman"/>
        </w:rPr>
        <w:t xml:space="preserve">verall </w:t>
      </w:r>
      <w:r w:rsidR="000D5EC6" w:rsidRPr="00322887">
        <w:rPr>
          <w:rFonts w:ascii="Times New Roman" w:hAnsi="Times New Roman" w:cs="Times New Roman"/>
        </w:rPr>
        <w:t xml:space="preserve">data shows </w:t>
      </w:r>
      <w:r>
        <w:rPr>
          <w:rFonts w:ascii="Times New Roman" w:hAnsi="Times New Roman" w:cs="Times New Roman"/>
        </w:rPr>
        <w:t xml:space="preserve">gradual improvement in </w:t>
      </w:r>
      <w:r w:rsidR="00413AF7">
        <w:rPr>
          <w:rFonts w:ascii="Times New Roman" w:hAnsi="Times New Roman" w:cs="Times New Roman"/>
        </w:rPr>
        <w:t>sales</w:t>
      </w:r>
      <w:r w:rsidR="00AA63A1" w:rsidRPr="00322887">
        <w:rPr>
          <w:rFonts w:ascii="Times New Roman" w:hAnsi="Times New Roman" w:cs="Times New Roman"/>
        </w:rPr>
        <w:t xml:space="preserve"> conditions</w:t>
      </w:r>
      <w:r w:rsidR="001158B6" w:rsidRPr="00322887">
        <w:rPr>
          <w:rFonts w:ascii="Times New Roman" w:hAnsi="Times New Roman" w:cs="Times New Roman"/>
        </w:rPr>
        <w:t>.</w:t>
      </w:r>
    </w:p>
    <w:p w14:paraId="5AD377A8" w14:textId="77777777" w:rsidR="00B24D06" w:rsidRDefault="00B24D06" w:rsidP="00AA63A1">
      <w:pPr>
        <w:spacing w:after="0" w:line="240" w:lineRule="auto"/>
        <w:jc w:val="center"/>
        <w:rPr>
          <w:rFonts w:ascii="Times New Roman" w:hAnsi="Times New Roman" w:cs="Times New Roman"/>
          <w:b/>
          <w:bCs/>
          <w:lang w:val="en-US"/>
        </w:rPr>
      </w:pPr>
    </w:p>
    <w:p w14:paraId="47280FC0" w14:textId="6D028CC6"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692450">
        <w:rPr>
          <w:rFonts w:ascii="Times New Roman" w:hAnsi="Times New Roman" w:cs="Times New Roman"/>
          <w:b/>
          <w:bCs/>
          <w:lang w:val="en-US"/>
        </w:rPr>
        <w:t>3</w:t>
      </w:r>
      <w:r w:rsidRPr="001D09C4">
        <w:rPr>
          <w:rFonts w:ascii="Times New Roman" w:hAnsi="Times New Roman" w:cs="Times New Roman"/>
          <w:b/>
          <w:bCs/>
          <w:lang w:val="en-US"/>
        </w:rPr>
        <w:t>: Sales Levels - % response</w:t>
      </w:r>
    </w:p>
    <w:p w14:paraId="2C738375" w14:textId="77777777" w:rsidR="00B24D06" w:rsidRDefault="00B24D06" w:rsidP="00AA63A1">
      <w:pPr>
        <w:spacing w:after="0" w:line="240" w:lineRule="auto"/>
        <w:jc w:val="center"/>
        <w:rPr>
          <w:rFonts w:ascii="Times New Roman" w:hAnsi="Times New Roman" w:cs="Times New Roman"/>
          <w:b/>
          <w:bCs/>
          <w:lang w:val="en-US"/>
        </w:rPr>
      </w:pPr>
    </w:p>
    <w:p w14:paraId="6003B148" w14:textId="2979975F" w:rsidR="005866CC" w:rsidRDefault="007F35C1" w:rsidP="00AA63A1">
      <w:pPr>
        <w:spacing w:after="0" w:line="240" w:lineRule="auto"/>
        <w:jc w:val="center"/>
        <w:rPr>
          <w:rFonts w:ascii="Times New Roman" w:hAnsi="Times New Roman" w:cs="Times New Roman"/>
          <w:b/>
          <w:bCs/>
          <w:lang w:val="en-US"/>
        </w:rPr>
      </w:pPr>
      <w:r>
        <w:rPr>
          <w:noProof/>
          <w:lang w:val="en-US"/>
        </w:rPr>
        <w:drawing>
          <wp:inline distT="0" distB="0" distL="0" distR="0" wp14:anchorId="38B0E0B8" wp14:editId="56D2911C">
            <wp:extent cx="5105400" cy="22479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83377D" w14:textId="77777777" w:rsidR="00273D5F" w:rsidRDefault="00273D5F" w:rsidP="00AA63A1">
      <w:pPr>
        <w:spacing w:after="0" w:line="240" w:lineRule="auto"/>
        <w:jc w:val="center"/>
        <w:rPr>
          <w:rFonts w:ascii="Times New Roman" w:hAnsi="Times New Roman" w:cs="Times New Roman"/>
          <w:b/>
          <w:bCs/>
          <w:lang w:val="en-US"/>
        </w:rPr>
      </w:pPr>
    </w:p>
    <w:p w14:paraId="22E9DD27" w14:textId="77777777" w:rsidR="005866CC" w:rsidRDefault="005866CC" w:rsidP="00AA63A1">
      <w:pPr>
        <w:spacing w:after="0" w:line="240" w:lineRule="auto"/>
        <w:jc w:val="center"/>
        <w:rPr>
          <w:rFonts w:ascii="Times New Roman" w:hAnsi="Times New Roman" w:cs="Times New Roman"/>
          <w:b/>
          <w:bCs/>
          <w:lang w:val="en-U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02A0BF67" w14:textId="1248CC93" w:rsidR="00A93D2E" w:rsidRDefault="00C677D8" w:rsidP="00A93D2E">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lastRenderedPageBreak/>
        <w:t>The proportion of f</w:t>
      </w:r>
      <w:r w:rsidR="001F4C7A">
        <w:rPr>
          <w:rFonts w:ascii="Times New Roman" w:hAnsi="Times New Roman" w:cs="Times New Roman"/>
        </w:rPr>
        <w:t>irms r</w:t>
      </w:r>
      <w:r w:rsidR="001D09C4" w:rsidRPr="00E33FBC">
        <w:rPr>
          <w:rFonts w:ascii="Times New Roman" w:hAnsi="Times New Roman" w:cs="Times New Roman"/>
        </w:rPr>
        <w:t>espon</w:t>
      </w:r>
      <w:r>
        <w:rPr>
          <w:rFonts w:ascii="Times New Roman" w:hAnsi="Times New Roman" w:cs="Times New Roman"/>
        </w:rPr>
        <w:t>ding</w:t>
      </w:r>
      <w:r w:rsidR="001D09C4" w:rsidRPr="00E33FBC">
        <w:rPr>
          <w:rFonts w:ascii="Times New Roman" w:hAnsi="Times New Roman" w:cs="Times New Roman"/>
        </w:rPr>
        <w:t xml:space="preserve"> </w:t>
      </w:r>
      <w:r w:rsidR="001F4C7A" w:rsidRPr="00E33FBC">
        <w:rPr>
          <w:rFonts w:ascii="Times New Roman" w:hAnsi="Times New Roman" w:cs="Times New Roman"/>
        </w:rPr>
        <w:t>‘much less than normal’</w:t>
      </w:r>
      <w:r w:rsidR="001F4C7A">
        <w:rPr>
          <w:rStyle w:val="FootnoteReference"/>
          <w:rFonts w:ascii="Times New Roman" w:hAnsi="Times New Roman" w:cs="Times New Roman"/>
        </w:rPr>
        <w:footnoteReference w:id="2"/>
      </w:r>
      <w:r w:rsidR="001F4C7A">
        <w:rPr>
          <w:rFonts w:ascii="Times New Roman" w:hAnsi="Times New Roman" w:cs="Times New Roman"/>
        </w:rPr>
        <w:t xml:space="preserve"> profit has been consistently declining over the</w:t>
      </w:r>
      <w:r>
        <w:rPr>
          <w:rFonts w:ascii="Times New Roman" w:hAnsi="Times New Roman" w:cs="Times New Roman"/>
        </w:rPr>
        <w:t xml:space="preserve"> last 4</w:t>
      </w:r>
      <w:r w:rsidR="001F4C7A">
        <w:rPr>
          <w:rFonts w:ascii="Times New Roman" w:hAnsi="Times New Roman" w:cs="Times New Roman"/>
        </w:rPr>
        <w:t xml:space="preserve"> months</w:t>
      </w:r>
      <w:r w:rsidR="001D09C4" w:rsidRPr="00E33FBC">
        <w:rPr>
          <w:rFonts w:ascii="Times New Roman" w:hAnsi="Times New Roman" w:cs="Times New Roman"/>
        </w:rPr>
        <w:t xml:space="preserve"> (Chart </w:t>
      </w:r>
      <w:r w:rsidR="00692450" w:rsidRPr="00E33FBC">
        <w:rPr>
          <w:rFonts w:ascii="Times New Roman" w:hAnsi="Times New Roman" w:cs="Times New Roman"/>
        </w:rPr>
        <w:t>4</w:t>
      </w:r>
      <w:r w:rsidR="001D09C4" w:rsidRPr="00E33FBC">
        <w:rPr>
          <w:rFonts w:ascii="Times New Roman" w:hAnsi="Times New Roman" w:cs="Times New Roman"/>
        </w:rPr>
        <w:t>).</w:t>
      </w:r>
      <w:r w:rsidR="00E6236E" w:rsidRPr="00E33FBC">
        <w:rPr>
          <w:rFonts w:ascii="Times New Roman" w:hAnsi="Times New Roman" w:cs="Times New Roman"/>
        </w:rPr>
        <w:t xml:space="preserve"> </w:t>
      </w:r>
    </w:p>
    <w:p w14:paraId="2184556E" w14:textId="77777777" w:rsidR="00E33FBC" w:rsidRPr="00E33FBC" w:rsidRDefault="00E33FBC" w:rsidP="00E33FBC">
      <w:pPr>
        <w:pStyle w:val="ListParagraph"/>
        <w:spacing w:after="0" w:line="240" w:lineRule="auto"/>
        <w:jc w:val="both"/>
        <w:rPr>
          <w:rFonts w:ascii="Times New Roman" w:hAnsi="Times New Roman" w:cs="Times New Roman"/>
        </w:rPr>
      </w:pPr>
    </w:p>
    <w:p w14:paraId="4A24427A" w14:textId="350C4AEB" w:rsidR="00DD58D7" w:rsidRDefault="00C677D8" w:rsidP="001D09C4">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Around 40</w:t>
      </w:r>
      <w:r w:rsidR="00A93D2E" w:rsidRPr="00322887">
        <w:rPr>
          <w:rFonts w:ascii="Times New Roman" w:hAnsi="Times New Roman" w:cs="Times New Roman"/>
        </w:rPr>
        <w:t>%</w:t>
      </w:r>
      <w:r w:rsidR="00C56040" w:rsidRPr="00322887">
        <w:rPr>
          <w:rFonts w:ascii="Times New Roman" w:hAnsi="Times New Roman" w:cs="Times New Roman"/>
        </w:rPr>
        <w:t xml:space="preserve"> of firms </w:t>
      </w:r>
      <w:r>
        <w:rPr>
          <w:rFonts w:ascii="Times New Roman" w:hAnsi="Times New Roman" w:cs="Times New Roman"/>
        </w:rPr>
        <w:t xml:space="preserve">have reported that profit margins are back to normal or greater in May 2018. </w:t>
      </w:r>
    </w:p>
    <w:p w14:paraId="049FE725" w14:textId="77777777" w:rsidR="00A93D2E" w:rsidRDefault="00A93D2E" w:rsidP="003705BC">
      <w:pPr>
        <w:pStyle w:val="ListParagraph"/>
        <w:spacing w:after="0" w:line="240" w:lineRule="auto"/>
        <w:jc w:val="both"/>
        <w:rPr>
          <w:rFonts w:ascii="Times New Roman" w:hAnsi="Times New Roman" w:cs="Times New Roman"/>
        </w:rPr>
      </w:pPr>
    </w:p>
    <w:p w14:paraId="2376A4BA" w14:textId="7788E491"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692450">
        <w:rPr>
          <w:rFonts w:ascii="Times New Roman" w:hAnsi="Times New Roman" w:cs="Times New Roman"/>
          <w:b/>
          <w:bCs/>
          <w:lang w:val="en-US" w:bidi="hi-IN"/>
        </w:rPr>
        <w:t>4</w:t>
      </w:r>
      <w:r w:rsidRPr="001D09C4">
        <w:rPr>
          <w:rFonts w:ascii="Times New Roman" w:hAnsi="Times New Roman" w:cs="Times New Roman"/>
          <w:b/>
          <w:bCs/>
          <w:lang w:val="en-US" w:bidi="hi-IN"/>
        </w:rPr>
        <w:t>: Profit Margins - % response</w:t>
      </w:r>
    </w:p>
    <w:p w14:paraId="5E48FA9C" w14:textId="77777777" w:rsidR="00273D5F" w:rsidRDefault="00273D5F" w:rsidP="00FC49EB">
      <w:pPr>
        <w:ind w:left="360"/>
        <w:jc w:val="center"/>
        <w:rPr>
          <w:rFonts w:ascii="Times New Roman" w:hAnsi="Times New Roman" w:cs="Times New Roman"/>
          <w:b/>
          <w:bCs/>
          <w:lang w:val="en-US" w:bidi="hi-IN"/>
        </w:rPr>
      </w:pPr>
    </w:p>
    <w:p w14:paraId="5A700592" w14:textId="7C3A4815" w:rsidR="00273D5F" w:rsidRDefault="007F35C1" w:rsidP="00FC49EB">
      <w:pPr>
        <w:ind w:left="360"/>
        <w:jc w:val="center"/>
        <w:rPr>
          <w:rFonts w:ascii="Times New Roman" w:hAnsi="Times New Roman" w:cs="Times New Roman"/>
          <w:b/>
          <w:bCs/>
          <w:lang w:val="en-US" w:bidi="hi-IN"/>
        </w:rPr>
      </w:pPr>
      <w:r>
        <w:rPr>
          <w:noProof/>
          <w:lang w:val="en-US"/>
        </w:rPr>
        <w:drawing>
          <wp:inline distT="0" distB="0" distL="0" distR="0" wp14:anchorId="62EC3BFF" wp14:editId="324C186C">
            <wp:extent cx="5429250" cy="227647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BF38EC" w14:textId="77777777" w:rsidR="00421EDA" w:rsidRPr="00421EDA" w:rsidRDefault="00421EDA" w:rsidP="00421EDA">
      <w:pPr>
        <w:pStyle w:val="ListParagraph"/>
        <w:spacing w:after="0" w:line="240" w:lineRule="auto"/>
        <w:rPr>
          <w:rFonts w:ascii="Times New Roman" w:hAnsi="Times New Roman" w:cs="Times New Roman"/>
          <w:b/>
          <w:bCs/>
          <w:sz w:val="28"/>
          <w:szCs w:val="28"/>
        </w:rPr>
      </w:pPr>
    </w:p>
    <w:p w14:paraId="3C0EC55A" w14:textId="0FA1A838" w:rsidR="009F5421" w:rsidRPr="00421EDA" w:rsidRDefault="00421EDA" w:rsidP="00421EDA">
      <w:pPr>
        <w:pStyle w:val="ListParagraph"/>
        <w:numPr>
          <w:ilvl w:val="0"/>
          <w:numId w:val="12"/>
        </w:numPr>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The End - </w:t>
      </w:r>
      <w:r w:rsidR="00DD58D7" w:rsidRPr="00421EDA">
        <w:rPr>
          <w:rFonts w:ascii="Times New Roman" w:hAnsi="Times New Roman" w:cs="Times New Roman"/>
          <w:b/>
          <w:sz w:val="28"/>
          <w:szCs w:val="28"/>
        </w:rPr>
        <w:br w:type="page"/>
      </w:r>
      <w:r w:rsidR="009F5421" w:rsidRPr="00421EDA">
        <w:rPr>
          <w:rFonts w:ascii="Times New Roman" w:hAnsi="Times New Roman" w:cs="Times New Roman"/>
          <w:b/>
          <w:sz w:val="28"/>
          <w:szCs w:val="28"/>
        </w:rPr>
        <w:lastRenderedPageBreak/>
        <w:t xml:space="preserve">Business Inflation Expectation Survey (BIES) </w:t>
      </w:r>
      <w:r w:rsidR="00410FBB" w:rsidRPr="00421EDA">
        <w:rPr>
          <w:rFonts w:ascii="Times New Roman" w:hAnsi="Times New Roman" w:cs="Times New Roman"/>
          <w:b/>
          <w:sz w:val="28"/>
          <w:szCs w:val="28"/>
        </w:rPr>
        <w:t>–</w:t>
      </w:r>
      <w:r w:rsidR="009F5421" w:rsidRPr="00421EDA">
        <w:rPr>
          <w:rFonts w:ascii="Times New Roman" w:hAnsi="Times New Roman" w:cs="Times New Roman"/>
          <w:b/>
          <w:sz w:val="28"/>
          <w:szCs w:val="28"/>
        </w:rPr>
        <w:t xml:space="preserve"> </w:t>
      </w:r>
      <w:r w:rsidR="009F5421" w:rsidRPr="00421EDA">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proofErr w:type="gramStart"/>
            <w:r w:rsidRPr="009F5421">
              <w:rPr>
                <w:rFonts w:ascii="Times New Roman" w:hAnsi="Times New Roman" w:cs="Times New Roman"/>
                <w:i/>
              </w:rPr>
              <w:t>of</w:t>
            </w:r>
            <w:proofErr w:type="gramEnd"/>
            <w:r w:rsidRPr="009F5421">
              <w:rPr>
                <w:rFonts w:ascii="Times New Roman" w:hAnsi="Times New Roman" w:cs="Times New Roman"/>
                <w:i/>
              </w:rPr>
              <w:t xml:space="preserve">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proofErr w:type="gramStart"/>
            <w:r w:rsidR="009F5421" w:rsidRPr="009F5421">
              <w:rPr>
                <w:rFonts w:ascii="Times New Roman" w:hAnsi="Times New Roman" w:cs="Times New Roman"/>
                <w:i/>
              </w:rPr>
              <w:t>of</w:t>
            </w:r>
            <w:proofErr w:type="gramEnd"/>
            <w:r w:rsidR="009F5421" w:rsidRPr="009F5421">
              <w:rPr>
                <w:rFonts w:ascii="Times New Roman" w:hAnsi="Times New Roman" w:cs="Times New Roman"/>
                <w:i/>
              </w:rPr>
              <w:t xml:space="preserve">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421EDA">
      <w:headerReference w:type="default" r:id="rId14"/>
      <w:footerReference w:type="default" r:id="rId15"/>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776F7" w14:textId="77777777" w:rsidR="00843996" w:rsidRDefault="00843996" w:rsidP="00B81990">
      <w:pPr>
        <w:spacing w:after="0" w:line="240" w:lineRule="auto"/>
      </w:pPr>
      <w:r>
        <w:separator/>
      </w:r>
    </w:p>
  </w:endnote>
  <w:endnote w:type="continuationSeparator" w:id="0">
    <w:p w14:paraId="5C144576" w14:textId="77777777" w:rsidR="00843996" w:rsidRDefault="00843996"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35B9AC50" w:rsidR="00E0056C" w:rsidRPr="003705BC" w:rsidRDefault="00E0056C">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421EDA">
          <w:rPr>
            <w:rFonts w:ascii="Times New Roman" w:hAnsi="Times New Roman" w:cs="Times New Roman"/>
            <w:noProof/>
          </w:rPr>
          <w:t>1</w:t>
        </w:r>
        <w:r w:rsidRPr="003705BC">
          <w:rPr>
            <w:rFonts w:ascii="Times New Roman" w:hAnsi="Times New Roman" w:cs="Times New Roman"/>
            <w:noProof/>
          </w:rPr>
          <w:fldChar w:fldCharType="end"/>
        </w:r>
      </w:p>
    </w:sdtContent>
  </w:sdt>
  <w:p w14:paraId="000FC5F3" w14:textId="77777777" w:rsidR="00E0056C" w:rsidRDefault="00E00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33BC0" w14:textId="77777777" w:rsidR="00843996" w:rsidRDefault="00843996" w:rsidP="00B81990">
      <w:pPr>
        <w:spacing w:after="0" w:line="240" w:lineRule="auto"/>
      </w:pPr>
      <w:r>
        <w:separator/>
      </w:r>
    </w:p>
  </w:footnote>
  <w:footnote w:type="continuationSeparator" w:id="0">
    <w:p w14:paraId="33937911" w14:textId="77777777" w:rsidR="00843996" w:rsidRDefault="00843996" w:rsidP="00B81990">
      <w:pPr>
        <w:spacing w:after="0" w:line="240" w:lineRule="auto"/>
      </w:pPr>
      <w:r>
        <w:continuationSeparator/>
      </w:r>
    </w:p>
  </w:footnote>
  <w:footnote w:id="1">
    <w:p w14:paraId="4E7D34D1" w14:textId="1F14FA78" w:rsidR="00E0056C" w:rsidRPr="00727F1A" w:rsidRDefault="00E0056C" w:rsidP="00FA2612">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37D3220B" w14:textId="26115C1C" w:rsidR="00E0056C" w:rsidRDefault="00E0056C">
      <w:pPr>
        <w:pStyle w:val="FootnoteText"/>
      </w:pPr>
    </w:p>
  </w:footnote>
  <w:footnote w:id="2">
    <w:p w14:paraId="1D0C8D4C" w14:textId="77777777" w:rsidR="001F4C7A" w:rsidRPr="00727F1A" w:rsidRDefault="001F4C7A" w:rsidP="001F4C7A">
      <w:pPr>
        <w:spacing w:after="0" w:line="240" w:lineRule="auto"/>
        <w:rPr>
          <w:rFonts w:ascii="Times New Roman" w:hAnsi="Times New Roman" w:cs="Times New Roman"/>
          <w:iCs/>
        </w:rPr>
      </w:pPr>
      <w:r w:rsidRPr="003705BC">
        <w:rPr>
          <w:rStyle w:val="FootnoteReference"/>
          <w:rFonts w:ascii="Times New Roman" w:hAnsi="Times New Roman" w:cs="Times New Roman"/>
        </w:rPr>
        <w:footnoteRef/>
      </w:r>
      <w:r w:rsidRPr="003705BC">
        <w:rPr>
          <w:rFonts w:ascii="Times New Roman" w:hAnsi="Times New Roman" w:cs="Times New Roman"/>
        </w:rPr>
        <w:t xml:space="preserve"> </w:t>
      </w:r>
      <w:r w:rsidRPr="003705BC">
        <w:rPr>
          <w:rFonts w:ascii="Times New Roman" w:hAnsi="Times New Roman" w:cs="Times New Roman"/>
          <w:i/>
          <w:vertAlign w:val="superscript"/>
        </w:rPr>
        <w:t xml:space="preserve"> </w:t>
      </w:r>
      <w:r w:rsidRPr="00727F1A">
        <w:rPr>
          <w:rFonts w:ascii="Times New Roman" w:hAnsi="Times New Roman" w:cs="Times New Roman"/>
          <w:iCs/>
          <w:sz w:val="20"/>
          <w:szCs w:val="20"/>
        </w:rPr>
        <w:t>"Normal" means as compared to the average level obtained in the preceding 3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DE93" w14:textId="57EF2703" w:rsidR="00E0056C" w:rsidRDefault="00E0056C" w:rsidP="00584765">
    <w:pPr>
      <w:pStyle w:val="Header"/>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ED4731"/>
    <w:multiLevelType w:val="hybridMultilevel"/>
    <w:tmpl w:val="4636E52E"/>
    <w:lvl w:ilvl="0" w:tplc="4F68D614">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4"/>
  </w:num>
  <w:num w:numId="5">
    <w:abstractNumId w:val="6"/>
  </w:num>
  <w:num w:numId="6">
    <w:abstractNumId w:val="9"/>
  </w:num>
  <w:num w:numId="7">
    <w:abstractNumId w:val="3"/>
  </w:num>
  <w:num w:numId="8">
    <w:abstractNumId w:val="11"/>
  </w:num>
  <w:num w:numId="9">
    <w:abstractNumId w:val="7"/>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57"/>
    <w:rsid w:val="00000209"/>
    <w:rsid w:val="00013CAF"/>
    <w:rsid w:val="00021AB1"/>
    <w:rsid w:val="00026033"/>
    <w:rsid w:val="00031DFE"/>
    <w:rsid w:val="00034A5A"/>
    <w:rsid w:val="00037176"/>
    <w:rsid w:val="00053843"/>
    <w:rsid w:val="000628D6"/>
    <w:rsid w:val="00065202"/>
    <w:rsid w:val="00065EDD"/>
    <w:rsid w:val="00093B14"/>
    <w:rsid w:val="00097167"/>
    <w:rsid w:val="0009761D"/>
    <w:rsid w:val="000B078A"/>
    <w:rsid w:val="000C390A"/>
    <w:rsid w:val="000D169A"/>
    <w:rsid w:val="000D2DBD"/>
    <w:rsid w:val="000D5B12"/>
    <w:rsid w:val="000D5EC6"/>
    <w:rsid w:val="000E4289"/>
    <w:rsid w:val="000E42F3"/>
    <w:rsid w:val="000E7FF9"/>
    <w:rsid w:val="000F1DBA"/>
    <w:rsid w:val="000F6AE1"/>
    <w:rsid w:val="001158B6"/>
    <w:rsid w:val="00117EA6"/>
    <w:rsid w:val="00151017"/>
    <w:rsid w:val="00166A4E"/>
    <w:rsid w:val="00173637"/>
    <w:rsid w:val="00180A28"/>
    <w:rsid w:val="00195BE5"/>
    <w:rsid w:val="001A6746"/>
    <w:rsid w:val="001B6932"/>
    <w:rsid w:val="001C3CD1"/>
    <w:rsid w:val="001C51A0"/>
    <w:rsid w:val="001D09C4"/>
    <w:rsid w:val="001D528C"/>
    <w:rsid w:val="001E1067"/>
    <w:rsid w:val="001E3345"/>
    <w:rsid w:val="001E4459"/>
    <w:rsid w:val="001E6B4A"/>
    <w:rsid w:val="001E70EB"/>
    <w:rsid w:val="001F4C7A"/>
    <w:rsid w:val="00204D14"/>
    <w:rsid w:val="0021223B"/>
    <w:rsid w:val="00214718"/>
    <w:rsid w:val="0021734F"/>
    <w:rsid w:val="00220A51"/>
    <w:rsid w:val="00221CD4"/>
    <w:rsid w:val="002232C2"/>
    <w:rsid w:val="002267FF"/>
    <w:rsid w:val="00227966"/>
    <w:rsid w:val="00231EFD"/>
    <w:rsid w:val="00232F2E"/>
    <w:rsid w:val="002528D0"/>
    <w:rsid w:val="0025352C"/>
    <w:rsid w:val="00260665"/>
    <w:rsid w:val="00271E01"/>
    <w:rsid w:val="00272D72"/>
    <w:rsid w:val="00273D5F"/>
    <w:rsid w:val="00274379"/>
    <w:rsid w:val="002875EA"/>
    <w:rsid w:val="002A1D6C"/>
    <w:rsid w:val="002B08C2"/>
    <w:rsid w:val="002B2E73"/>
    <w:rsid w:val="002B7E20"/>
    <w:rsid w:val="002C2158"/>
    <w:rsid w:val="002C552F"/>
    <w:rsid w:val="002C7882"/>
    <w:rsid w:val="002F048F"/>
    <w:rsid w:val="00302FBC"/>
    <w:rsid w:val="00310E5B"/>
    <w:rsid w:val="003204B3"/>
    <w:rsid w:val="00320A9D"/>
    <w:rsid w:val="00322121"/>
    <w:rsid w:val="003225AA"/>
    <w:rsid w:val="00322887"/>
    <w:rsid w:val="003267C1"/>
    <w:rsid w:val="00332D92"/>
    <w:rsid w:val="00337BA5"/>
    <w:rsid w:val="00343E59"/>
    <w:rsid w:val="003510A7"/>
    <w:rsid w:val="0035640B"/>
    <w:rsid w:val="00360057"/>
    <w:rsid w:val="003705BC"/>
    <w:rsid w:val="00376B5A"/>
    <w:rsid w:val="00381F13"/>
    <w:rsid w:val="003A04E1"/>
    <w:rsid w:val="003A3F72"/>
    <w:rsid w:val="003B45EB"/>
    <w:rsid w:val="003B4A6B"/>
    <w:rsid w:val="003D7A28"/>
    <w:rsid w:val="003E289D"/>
    <w:rsid w:val="003E2EFE"/>
    <w:rsid w:val="003E6597"/>
    <w:rsid w:val="003E6C3E"/>
    <w:rsid w:val="003F35DA"/>
    <w:rsid w:val="003F5777"/>
    <w:rsid w:val="00400206"/>
    <w:rsid w:val="00407044"/>
    <w:rsid w:val="00410FBB"/>
    <w:rsid w:val="00413AF7"/>
    <w:rsid w:val="00421EDA"/>
    <w:rsid w:val="004239D7"/>
    <w:rsid w:val="00431952"/>
    <w:rsid w:val="00433F9F"/>
    <w:rsid w:val="00436CA1"/>
    <w:rsid w:val="004412D2"/>
    <w:rsid w:val="00470DD7"/>
    <w:rsid w:val="004770FA"/>
    <w:rsid w:val="004A0C11"/>
    <w:rsid w:val="004A5ABA"/>
    <w:rsid w:val="004B0842"/>
    <w:rsid w:val="004C6586"/>
    <w:rsid w:val="004C6A56"/>
    <w:rsid w:val="004D05D3"/>
    <w:rsid w:val="004D357B"/>
    <w:rsid w:val="00502A3B"/>
    <w:rsid w:val="0052567E"/>
    <w:rsid w:val="00531C53"/>
    <w:rsid w:val="00537192"/>
    <w:rsid w:val="00571578"/>
    <w:rsid w:val="00583611"/>
    <w:rsid w:val="00584765"/>
    <w:rsid w:val="005866CC"/>
    <w:rsid w:val="005A2E91"/>
    <w:rsid w:val="005B3E50"/>
    <w:rsid w:val="005C067D"/>
    <w:rsid w:val="005C2FB0"/>
    <w:rsid w:val="005C4298"/>
    <w:rsid w:val="005D60C2"/>
    <w:rsid w:val="005E28DD"/>
    <w:rsid w:val="005E3E89"/>
    <w:rsid w:val="005F5FD8"/>
    <w:rsid w:val="00607937"/>
    <w:rsid w:val="0061399F"/>
    <w:rsid w:val="0061519C"/>
    <w:rsid w:val="006375AE"/>
    <w:rsid w:val="0064464F"/>
    <w:rsid w:val="00655AF8"/>
    <w:rsid w:val="00681E4B"/>
    <w:rsid w:val="006830D3"/>
    <w:rsid w:val="00687378"/>
    <w:rsid w:val="00690BD4"/>
    <w:rsid w:val="00692450"/>
    <w:rsid w:val="00693625"/>
    <w:rsid w:val="006A5DF8"/>
    <w:rsid w:val="006A5E31"/>
    <w:rsid w:val="006B257F"/>
    <w:rsid w:val="006D4752"/>
    <w:rsid w:val="006F078B"/>
    <w:rsid w:val="006F0B44"/>
    <w:rsid w:val="006F2DA7"/>
    <w:rsid w:val="006F3A19"/>
    <w:rsid w:val="00700ACC"/>
    <w:rsid w:val="00707534"/>
    <w:rsid w:val="0071262A"/>
    <w:rsid w:val="00712FBA"/>
    <w:rsid w:val="00714CF2"/>
    <w:rsid w:val="00727E39"/>
    <w:rsid w:val="00727F1A"/>
    <w:rsid w:val="00733A24"/>
    <w:rsid w:val="007471A8"/>
    <w:rsid w:val="00755B0C"/>
    <w:rsid w:val="00760A14"/>
    <w:rsid w:val="00762EAF"/>
    <w:rsid w:val="00763302"/>
    <w:rsid w:val="00777318"/>
    <w:rsid w:val="00777433"/>
    <w:rsid w:val="007822A5"/>
    <w:rsid w:val="00791854"/>
    <w:rsid w:val="00796D1B"/>
    <w:rsid w:val="007B1C01"/>
    <w:rsid w:val="007E34C7"/>
    <w:rsid w:val="007E4CCC"/>
    <w:rsid w:val="007F043E"/>
    <w:rsid w:val="007F35C1"/>
    <w:rsid w:val="007F71B0"/>
    <w:rsid w:val="0080376C"/>
    <w:rsid w:val="008064AB"/>
    <w:rsid w:val="00807E0B"/>
    <w:rsid w:val="008145F7"/>
    <w:rsid w:val="00816FA0"/>
    <w:rsid w:val="0082161A"/>
    <w:rsid w:val="00843357"/>
    <w:rsid w:val="00843996"/>
    <w:rsid w:val="00843DBB"/>
    <w:rsid w:val="0085584D"/>
    <w:rsid w:val="0086778C"/>
    <w:rsid w:val="00873384"/>
    <w:rsid w:val="00881AF0"/>
    <w:rsid w:val="008859D8"/>
    <w:rsid w:val="008924DF"/>
    <w:rsid w:val="008975DD"/>
    <w:rsid w:val="008A019B"/>
    <w:rsid w:val="008A3A87"/>
    <w:rsid w:val="008B6EB4"/>
    <w:rsid w:val="008D63AC"/>
    <w:rsid w:val="008D6D83"/>
    <w:rsid w:val="008E3EB5"/>
    <w:rsid w:val="008F1F2D"/>
    <w:rsid w:val="00901FA2"/>
    <w:rsid w:val="009133FE"/>
    <w:rsid w:val="009174E4"/>
    <w:rsid w:val="00925659"/>
    <w:rsid w:val="00930466"/>
    <w:rsid w:val="0093664C"/>
    <w:rsid w:val="00961726"/>
    <w:rsid w:val="0098116E"/>
    <w:rsid w:val="009A17DB"/>
    <w:rsid w:val="009A1C5D"/>
    <w:rsid w:val="009B5ECF"/>
    <w:rsid w:val="009E05FE"/>
    <w:rsid w:val="009F5421"/>
    <w:rsid w:val="009F7A50"/>
    <w:rsid w:val="00A04A2C"/>
    <w:rsid w:val="00A14CD0"/>
    <w:rsid w:val="00A24BBB"/>
    <w:rsid w:val="00A35195"/>
    <w:rsid w:val="00A409BA"/>
    <w:rsid w:val="00A44EBC"/>
    <w:rsid w:val="00A47F48"/>
    <w:rsid w:val="00A625F5"/>
    <w:rsid w:val="00A62E87"/>
    <w:rsid w:val="00A706CF"/>
    <w:rsid w:val="00A72F20"/>
    <w:rsid w:val="00A93D2E"/>
    <w:rsid w:val="00AA4EBB"/>
    <w:rsid w:val="00AA63A1"/>
    <w:rsid w:val="00AC6C7C"/>
    <w:rsid w:val="00B06244"/>
    <w:rsid w:val="00B103AE"/>
    <w:rsid w:val="00B215BA"/>
    <w:rsid w:val="00B24D06"/>
    <w:rsid w:val="00B4405A"/>
    <w:rsid w:val="00B6165E"/>
    <w:rsid w:val="00B70FC1"/>
    <w:rsid w:val="00B72400"/>
    <w:rsid w:val="00B761C6"/>
    <w:rsid w:val="00B7624A"/>
    <w:rsid w:val="00B81990"/>
    <w:rsid w:val="00B84BE6"/>
    <w:rsid w:val="00B854C5"/>
    <w:rsid w:val="00B85782"/>
    <w:rsid w:val="00B920CC"/>
    <w:rsid w:val="00B937B2"/>
    <w:rsid w:val="00B96C5A"/>
    <w:rsid w:val="00BA1E11"/>
    <w:rsid w:val="00BA3708"/>
    <w:rsid w:val="00BB2EDA"/>
    <w:rsid w:val="00BD6E68"/>
    <w:rsid w:val="00BE33D4"/>
    <w:rsid w:val="00BF74CB"/>
    <w:rsid w:val="00C05138"/>
    <w:rsid w:val="00C25290"/>
    <w:rsid w:val="00C35070"/>
    <w:rsid w:val="00C54808"/>
    <w:rsid w:val="00C56040"/>
    <w:rsid w:val="00C677D8"/>
    <w:rsid w:val="00C81AC1"/>
    <w:rsid w:val="00C96087"/>
    <w:rsid w:val="00C96C66"/>
    <w:rsid w:val="00CA603B"/>
    <w:rsid w:val="00CB54EB"/>
    <w:rsid w:val="00CC1C18"/>
    <w:rsid w:val="00CC44AE"/>
    <w:rsid w:val="00CC5DF3"/>
    <w:rsid w:val="00CD2CB8"/>
    <w:rsid w:val="00CE54BB"/>
    <w:rsid w:val="00CE599B"/>
    <w:rsid w:val="00CE7A64"/>
    <w:rsid w:val="00CF472C"/>
    <w:rsid w:val="00D005C5"/>
    <w:rsid w:val="00D02C8B"/>
    <w:rsid w:val="00D10FE5"/>
    <w:rsid w:val="00D243AE"/>
    <w:rsid w:val="00D3337A"/>
    <w:rsid w:val="00D35086"/>
    <w:rsid w:val="00D40035"/>
    <w:rsid w:val="00D40FCB"/>
    <w:rsid w:val="00D42893"/>
    <w:rsid w:val="00D86FBB"/>
    <w:rsid w:val="00D925B4"/>
    <w:rsid w:val="00D969A2"/>
    <w:rsid w:val="00DA5475"/>
    <w:rsid w:val="00DA7B90"/>
    <w:rsid w:val="00DB6503"/>
    <w:rsid w:val="00DC0290"/>
    <w:rsid w:val="00DC1400"/>
    <w:rsid w:val="00DC3C63"/>
    <w:rsid w:val="00DC6FF1"/>
    <w:rsid w:val="00DC7809"/>
    <w:rsid w:val="00DD58D7"/>
    <w:rsid w:val="00DE4CA8"/>
    <w:rsid w:val="00DE57C4"/>
    <w:rsid w:val="00DF1CBE"/>
    <w:rsid w:val="00E0056C"/>
    <w:rsid w:val="00E05EDE"/>
    <w:rsid w:val="00E33FBC"/>
    <w:rsid w:val="00E368B6"/>
    <w:rsid w:val="00E502B5"/>
    <w:rsid w:val="00E5268F"/>
    <w:rsid w:val="00E6236E"/>
    <w:rsid w:val="00E757F1"/>
    <w:rsid w:val="00E80133"/>
    <w:rsid w:val="00EA5602"/>
    <w:rsid w:val="00EA79D4"/>
    <w:rsid w:val="00ED330C"/>
    <w:rsid w:val="00ED713A"/>
    <w:rsid w:val="00ED79C5"/>
    <w:rsid w:val="00EF08B1"/>
    <w:rsid w:val="00EF66A2"/>
    <w:rsid w:val="00EF764C"/>
    <w:rsid w:val="00F029BC"/>
    <w:rsid w:val="00F046DB"/>
    <w:rsid w:val="00F37B99"/>
    <w:rsid w:val="00F412C2"/>
    <w:rsid w:val="00F45E2A"/>
    <w:rsid w:val="00FA155C"/>
    <w:rsid w:val="00FA2612"/>
    <w:rsid w:val="00FB325F"/>
    <w:rsid w:val="00FB3733"/>
    <w:rsid w:val="00FC0DDB"/>
    <w:rsid w:val="00FC49EB"/>
    <w:rsid w:val="00FD53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E:\Abhiman\BIES\Estimation%20May%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bhiman\BIES\Results%20May%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bhiman\BIES\Results%20May%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bhiman\BIES\Results%20May%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cat>
            <c:numRef>
              <c:f>Sheet1!$D$26:$D$38</c:f>
              <c:numCache>
                <c:formatCode>mmm\-yy</c:formatCode>
                <c:ptCount val="13"/>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numCache>
            </c:numRef>
          </c:cat>
          <c:val>
            <c:numRef>
              <c:f>Sheet1!$E$26:$E$38</c:f>
              <c:numCache>
                <c:formatCode>0.00</c:formatCode>
                <c:ptCount val="13"/>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numCache>
            </c:numRef>
          </c:val>
          <c:smooth val="0"/>
        </c:ser>
        <c:ser>
          <c:idx val="2"/>
          <c:order val="1"/>
          <c:spPr>
            <a:ln w="31750">
              <a:solidFill>
                <a:srgbClr val="00B050"/>
              </a:solidFill>
              <a:prstDash val="sysDash"/>
            </a:ln>
          </c:spPr>
          <c:marker>
            <c:symbol val="none"/>
          </c:marker>
          <c:cat>
            <c:numRef>
              <c:f>Sheet1!$D$26:$D$38</c:f>
              <c:numCache>
                <c:formatCode>mmm\-yy</c:formatCode>
                <c:ptCount val="13"/>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numCache>
            </c:numRef>
          </c:cat>
          <c:val>
            <c:numRef>
              <c:f>Sheet1!$G$26:$G$38</c:f>
              <c:numCache>
                <c:formatCode>General</c:formatCode>
                <c:ptCount val="13"/>
                <c:pt idx="0">
                  <c:v>4</c:v>
                </c:pt>
                <c:pt idx="1">
                  <c:v>4</c:v>
                </c:pt>
                <c:pt idx="2">
                  <c:v>4</c:v>
                </c:pt>
                <c:pt idx="3">
                  <c:v>4</c:v>
                </c:pt>
                <c:pt idx="4">
                  <c:v>4</c:v>
                </c:pt>
                <c:pt idx="5">
                  <c:v>4</c:v>
                </c:pt>
                <c:pt idx="6">
                  <c:v>4</c:v>
                </c:pt>
                <c:pt idx="7">
                  <c:v>4</c:v>
                </c:pt>
                <c:pt idx="8">
                  <c:v>4</c:v>
                </c:pt>
                <c:pt idx="9">
                  <c:v>4</c:v>
                </c:pt>
                <c:pt idx="10">
                  <c:v>4</c:v>
                </c:pt>
                <c:pt idx="11">
                  <c:v>4</c:v>
                </c:pt>
                <c:pt idx="12">
                  <c:v>4</c:v>
                </c:pt>
              </c:numCache>
            </c:numRef>
          </c:val>
          <c:smooth val="0"/>
        </c:ser>
        <c:dLbls>
          <c:showLegendKey val="0"/>
          <c:showVal val="0"/>
          <c:showCatName val="0"/>
          <c:showSerName val="0"/>
          <c:showPercent val="0"/>
          <c:showBubbleSize val="0"/>
        </c:dLbls>
        <c:marker val="1"/>
        <c:smooth val="0"/>
        <c:axId val="90291200"/>
        <c:axId val="90297088"/>
      </c:lineChart>
      <c:dateAx>
        <c:axId val="90291200"/>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90297088"/>
        <c:crosses val="autoZero"/>
        <c:auto val="1"/>
        <c:lblOffset val="100"/>
        <c:baseTimeUnit val="months"/>
      </c:dateAx>
      <c:valAx>
        <c:axId val="90297088"/>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90291200"/>
        <c:crosses val="autoZero"/>
        <c:crossBetween val="between"/>
        <c:majorUnit val="1"/>
        <c:minorUnit val="0.5"/>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4"/>
          <c:order val="0"/>
          <c:tx>
            <c:strRef>
              <c:f>Question3!$K$3</c:f>
              <c:strCache>
                <c:ptCount val="1"/>
                <c:pt idx="0">
                  <c:v>Feb-18</c:v>
                </c:pt>
              </c:strCache>
            </c:strRef>
          </c:tx>
          <c:invertIfNegative val="0"/>
          <c:dLbls>
            <c:dLbl>
              <c:idx val="0"/>
              <c:layout>
                <c:manualLayout>
                  <c:x val="-7.4211502782931356E-3"/>
                  <c:y val="-5.3841766659467811E-17"/>
                </c:manualLayout>
              </c:layout>
              <c:showLegendKey val="0"/>
              <c:showVal val="1"/>
              <c:showCatName val="0"/>
              <c:showSerName val="0"/>
              <c:showPercent val="0"/>
              <c:showBubbleSize val="0"/>
            </c:dLbl>
            <c:dLbl>
              <c:idx val="5"/>
              <c:layout>
                <c:manualLayout>
                  <c:x val="-1.2368583797155407E-2"/>
                  <c:y val="-5.3841766659467811E-17"/>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Question3!$K$4:$K$9</c:f>
              <c:numCache>
                <c:formatCode>0.00%</c:formatCode>
                <c:ptCount val="6"/>
                <c:pt idx="0">
                  <c:v>8.5000000000000006E-2</c:v>
                </c:pt>
                <c:pt idx="1">
                  <c:v>0.127</c:v>
                </c:pt>
                <c:pt idx="2">
                  <c:v>0.34300000000000003</c:v>
                </c:pt>
                <c:pt idx="3">
                  <c:v>0.24</c:v>
                </c:pt>
                <c:pt idx="4">
                  <c:v>0.1933</c:v>
                </c:pt>
                <c:pt idx="5">
                  <c:v>0.1105</c:v>
                </c:pt>
              </c:numCache>
            </c:numRef>
          </c:val>
        </c:ser>
        <c:ser>
          <c:idx val="0"/>
          <c:order val="1"/>
          <c:tx>
            <c:strRef>
              <c:f>Question3!$L$3</c:f>
              <c:strCache>
                <c:ptCount val="1"/>
                <c:pt idx="0">
                  <c:v>Mar-18</c:v>
                </c:pt>
              </c:strCache>
            </c:strRef>
          </c:tx>
          <c:spPr>
            <a:solidFill>
              <a:srgbClr val="00B050"/>
            </a:solidFill>
          </c:spPr>
          <c:invertIfNegative val="0"/>
          <c:dLbls>
            <c:dLbl>
              <c:idx val="2"/>
              <c:layout>
                <c:manualLayout>
                  <c:x val="0"/>
                  <c:y val="-1.7621145374449341E-2"/>
                </c:manualLayout>
              </c:layout>
              <c:showLegendKey val="0"/>
              <c:showVal val="1"/>
              <c:showCatName val="0"/>
              <c:showSerName val="0"/>
              <c:showPercent val="0"/>
              <c:showBubbleSize val="0"/>
            </c:dLbl>
            <c:dLbl>
              <c:idx val="4"/>
              <c:layout>
                <c:manualLayout>
                  <c:x val="-9.0701900049715718E-17"/>
                  <c:y val="2.9368575624082231E-2"/>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Question3!$L$4:$L$9</c:f>
              <c:numCache>
                <c:formatCode>0.0%</c:formatCode>
                <c:ptCount val="6"/>
                <c:pt idx="0">
                  <c:v>0.09</c:v>
                </c:pt>
                <c:pt idx="1">
                  <c:v>0.15</c:v>
                </c:pt>
                <c:pt idx="2">
                  <c:v>0.20200000000000001</c:v>
                </c:pt>
                <c:pt idx="3">
                  <c:v>0.28299999999999997</c:v>
                </c:pt>
                <c:pt idx="4">
                  <c:v>0.17</c:v>
                </c:pt>
                <c:pt idx="5">
                  <c:v>0.1</c:v>
                </c:pt>
              </c:numCache>
            </c:numRef>
          </c:val>
        </c:ser>
        <c:ser>
          <c:idx val="1"/>
          <c:order val="2"/>
          <c:tx>
            <c:strRef>
              <c:f>Question3!$M$3</c:f>
              <c:strCache>
                <c:ptCount val="1"/>
                <c:pt idx="0">
                  <c:v>Apr-18</c:v>
                </c:pt>
              </c:strCache>
            </c:strRef>
          </c:tx>
          <c:spPr>
            <a:solidFill>
              <a:schemeClr val="accent4">
                <a:lumMod val="60000"/>
                <a:lumOff val="40000"/>
              </a:schemeClr>
            </a:solidFill>
          </c:spPr>
          <c:invertIfNegative val="0"/>
          <c:dLbls>
            <c:dLbl>
              <c:idx val="2"/>
              <c:layout>
                <c:manualLayout>
                  <c:x val="4.9474335188620907E-3"/>
                  <c:y val="-3.5242290748898682E-2"/>
                </c:manualLayout>
              </c:layout>
              <c:showLegendKey val="0"/>
              <c:showVal val="1"/>
              <c:showCatName val="0"/>
              <c:showSerName val="0"/>
              <c:showPercent val="0"/>
              <c:showBubbleSize val="0"/>
            </c:dLbl>
            <c:dLbl>
              <c:idx val="3"/>
              <c:layout>
                <c:manualLayout>
                  <c:x val="7.4211502782930445E-3"/>
                  <c:y val="0"/>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Question3!$M$4:$M$9</c:f>
              <c:numCache>
                <c:formatCode>0.0%</c:formatCode>
                <c:ptCount val="6"/>
                <c:pt idx="0">
                  <c:v>0.08</c:v>
                </c:pt>
                <c:pt idx="1">
                  <c:v>0.11</c:v>
                </c:pt>
                <c:pt idx="2">
                  <c:v>0.23</c:v>
                </c:pt>
                <c:pt idx="3">
                  <c:v>0.24</c:v>
                </c:pt>
                <c:pt idx="4">
                  <c:v>0.2</c:v>
                </c:pt>
                <c:pt idx="5">
                  <c:v>0.13</c:v>
                </c:pt>
              </c:numCache>
            </c:numRef>
          </c:val>
        </c:ser>
        <c:ser>
          <c:idx val="2"/>
          <c:order val="3"/>
          <c:tx>
            <c:strRef>
              <c:f>Question3!$N$3</c:f>
              <c:strCache>
                <c:ptCount val="1"/>
                <c:pt idx="0">
                  <c:v>May-18</c:v>
                </c:pt>
              </c:strCache>
            </c:strRef>
          </c:tx>
          <c:spPr>
            <a:solidFill>
              <a:srgbClr val="C00000"/>
            </a:solidFill>
          </c:spPr>
          <c:invertIfNegative val="0"/>
          <c:dLbls>
            <c:dLbl>
              <c:idx val="0"/>
              <c:layout>
                <c:manualLayout>
                  <c:x val="1.2368583797155249E-2"/>
                  <c:y val="5.8737151248164461E-3"/>
                </c:manualLayout>
              </c:layout>
              <c:showLegendKey val="0"/>
              <c:showVal val="1"/>
              <c:showCatName val="0"/>
              <c:showSerName val="0"/>
              <c:showPercent val="0"/>
              <c:showBubbleSize val="0"/>
            </c:dLbl>
            <c:dLbl>
              <c:idx val="1"/>
              <c:layout>
                <c:manualLayout>
                  <c:x val="1.2368583797155226E-2"/>
                  <c:y val="1.7621145374449285E-2"/>
                </c:manualLayout>
              </c:layout>
              <c:showLegendKey val="0"/>
              <c:showVal val="1"/>
              <c:showCatName val="0"/>
              <c:showSerName val="0"/>
              <c:showPercent val="0"/>
              <c:showBubbleSize val="0"/>
            </c:dLbl>
            <c:dLbl>
              <c:idx val="2"/>
              <c:layout>
                <c:manualLayout>
                  <c:x val="1.4842300556586271E-2"/>
                  <c:y val="0"/>
                </c:manualLayout>
              </c:layout>
              <c:showLegendKey val="0"/>
              <c:showVal val="1"/>
              <c:showCatName val="0"/>
              <c:showSerName val="0"/>
              <c:showPercent val="0"/>
              <c:showBubbleSize val="0"/>
            </c:dLbl>
            <c:dLbl>
              <c:idx val="3"/>
              <c:layout>
                <c:manualLayout>
                  <c:x val="2.7210884353741496E-2"/>
                  <c:y val="0"/>
                </c:manualLayout>
              </c:layout>
              <c:showLegendKey val="0"/>
              <c:showVal val="1"/>
              <c:showCatName val="0"/>
              <c:showSerName val="0"/>
              <c:showPercent val="0"/>
              <c:showBubbleSize val="0"/>
            </c:dLbl>
            <c:dLbl>
              <c:idx val="5"/>
              <c:layout>
                <c:manualLayout>
                  <c:x val="1.4842300556586271E-2"/>
                  <c:y val="5.8737151248163385E-3"/>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Question3!$N$4:$N$9</c:f>
              <c:numCache>
                <c:formatCode>0.0%</c:formatCode>
                <c:ptCount val="6"/>
                <c:pt idx="0">
                  <c:v>9.4700000000000006E-2</c:v>
                </c:pt>
                <c:pt idx="1">
                  <c:v>0.13150000000000001</c:v>
                </c:pt>
                <c:pt idx="2">
                  <c:v>0.1842</c:v>
                </c:pt>
                <c:pt idx="3">
                  <c:v>0.26050000000000001</c:v>
                </c:pt>
                <c:pt idx="4">
                  <c:v>0.2447</c:v>
                </c:pt>
                <c:pt idx="5">
                  <c:v>8.4199999999999997E-2</c:v>
                </c:pt>
              </c:numCache>
            </c:numRef>
          </c:val>
        </c:ser>
        <c:dLbls>
          <c:showLegendKey val="0"/>
          <c:showVal val="0"/>
          <c:showCatName val="0"/>
          <c:showSerName val="0"/>
          <c:showPercent val="0"/>
          <c:showBubbleSize val="0"/>
        </c:dLbls>
        <c:gapWidth val="150"/>
        <c:axId val="91639808"/>
        <c:axId val="91641344"/>
      </c:barChart>
      <c:catAx>
        <c:axId val="91639808"/>
        <c:scaling>
          <c:orientation val="minMax"/>
        </c:scaling>
        <c:delete val="0"/>
        <c:axPos val="b"/>
        <c:numFmt formatCode="General" sourceLinked="0"/>
        <c:majorTickMark val="out"/>
        <c:minorTickMark val="none"/>
        <c:tickLblPos val="nextTo"/>
        <c:txPr>
          <a:bodyPr rot="0" vert="horz"/>
          <a:lstStyle/>
          <a:p>
            <a:pPr>
              <a:defRPr sz="1000"/>
            </a:pPr>
            <a:endParaRPr lang="en-US"/>
          </a:p>
        </c:txPr>
        <c:crossAx val="91641344"/>
        <c:crosses val="autoZero"/>
        <c:auto val="1"/>
        <c:lblAlgn val="ctr"/>
        <c:lblOffset val="100"/>
        <c:noMultiLvlLbl val="0"/>
      </c:catAx>
      <c:valAx>
        <c:axId val="91641344"/>
        <c:scaling>
          <c:orientation val="minMax"/>
        </c:scaling>
        <c:delete val="0"/>
        <c:axPos val="l"/>
        <c:majorGridlines/>
        <c:numFmt formatCode="0%" sourceLinked="0"/>
        <c:majorTickMark val="out"/>
        <c:minorTickMark val="none"/>
        <c:tickLblPos val="nextTo"/>
        <c:crossAx val="91639808"/>
        <c:crosses val="autoZero"/>
        <c:crossBetween val="between"/>
      </c:valAx>
    </c:plotArea>
    <c:legend>
      <c:legendPos val="r"/>
      <c:layout>
        <c:manualLayout>
          <c:xMode val="edge"/>
          <c:yMode val="edge"/>
          <c:x val="0.84893206531001808"/>
          <c:y val="7.3376374576972089E-2"/>
          <c:w val="0.12029061302402133"/>
          <c:h val="0.23966098951287476"/>
        </c:manualLayout>
      </c:layout>
      <c:overlay val="0"/>
    </c:legend>
    <c:plotVisOnly val="1"/>
    <c:dispBlanksAs val="gap"/>
    <c:showDLblsOverMax val="0"/>
  </c:chart>
  <c:spPr>
    <a:ln>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4"/>
          <c:order val="0"/>
          <c:tx>
            <c:strRef>
              <c:f>'Question 2'!$K$3</c:f>
              <c:strCache>
                <c:ptCount val="1"/>
                <c:pt idx="0">
                  <c:v>Feb-18</c:v>
                </c:pt>
              </c:strCache>
            </c:strRef>
          </c:tx>
          <c:invertIfNegative val="0"/>
          <c:dLbls>
            <c:dLbl>
              <c:idx val="0"/>
              <c:layout>
                <c:manualLayout>
                  <c:x val="-9.9502487562189174E-3"/>
                  <c:y val="0"/>
                </c:manualLayout>
              </c:layout>
              <c:showLegendKey val="0"/>
              <c:showVal val="1"/>
              <c:showCatName val="0"/>
              <c:showSerName val="0"/>
              <c:showPercent val="0"/>
              <c:showBubbleSize val="0"/>
            </c:dLbl>
            <c:dLbl>
              <c:idx val="2"/>
              <c:layout>
                <c:manualLayout>
                  <c:x val="-7.462686567164179E-3"/>
                  <c:y val="1.5503875968992248E-2"/>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2'!$K$4:$K$8</c:f>
              <c:numCache>
                <c:formatCode>0.0%</c:formatCode>
                <c:ptCount val="5"/>
                <c:pt idx="0">
                  <c:v>0.2928</c:v>
                </c:pt>
                <c:pt idx="1">
                  <c:v>0.24030000000000001</c:v>
                </c:pt>
                <c:pt idx="2">
                  <c:v>0.24030000000000001</c:v>
                </c:pt>
                <c:pt idx="3">
                  <c:v>0.185</c:v>
                </c:pt>
                <c:pt idx="4">
                  <c:v>4.1399999999999999E-2</c:v>
                </c:pt>
              </c:numCache>
            </c:numRef>
          </c:val>
        </c:ser>
        <c:ser>
          <c:idx val="0"/>
          <c:order val="1"/>
          <c:tx>
            <c:strRef>
              <c:f>'Question 2'!$L$3</c:f>
              <c:strCache>
                <c:ptCount val="1"/>
                <c:pt idx="0">
                  <c:v>Mar-18</c:v>
                </c:pt>
              </c:strCache>
            </c:strRef>
          </c:tx>
          <c:spPr>
            <a:solidFill>
              <a:srgbClr val="FFC000"/>
            </a:solidFill>
          </c:spPr>
          <c:invertIfNegative val="0"/>
          <c:dLbls>
            <c:numFmt formatCode="0%" sourceLinked="0"/>
            <c:txPr>
              <a:bodyPr/>
              <a:lstStyle/>
              <a:p>
                <a:pPr>
                  <a:defRPr sz="8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2'!$L$4:$L$8</c:f>
              <c:numCache>
                <c:formatCode>0.0%</c:formatCode>
                <c:ptCount val="5"/>
                <c:pt idx="0">
                  <c:v>0.28000000000000003</c:v>
                </c:pt>
                <c:pt idx="1">
                  <c:v>0.28000000000000003</c:v>
                </c:pt>
                <c:pt idx="2">
                  <c:v>0.26</c:v>
                </c:pt>
                <c:pt idx="3">
                  <c:v>0.154</c:v>
                </c:pt>
                <c:pt idx="4">
                  <c:v>2.3E-2</c:v>
                </c:pt>
              </c:numCache>
            </c:numRef>
          </c:val>
        </c:ser>
        <c:ser>
          <c:idx val="1"/>
          <c:order val="2"/>
          <c:tx>
            <c:strRef>
              <c:f>'Question 2'!$M$3</c:f>
              <c:strCache>
                <c:ptCount val="1"/>
                <c:pt idx="0">
                  <c:v>Apr-18</c:v>
                </c:pt>
              </c:strCache>
            </c:strRef>
          </c:tx>
          <c:spPr>
            <a:solidFill>
              <a:schemeClr val="accent6"/>
            </a:solidFill>
          </c:spPr>
          <c:invertIfNegative val="0"/>
          <c:dLbls>
            <c:numFmt formatCode="0%" sourceLinked="0"/>
            <c:txPr>
              <a:bodyPr/>
              <a:lstStyle/>
              <a:p>
                <a:pPr>
                  <a:defRPr sz="8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2'!$M$4:$M$8</c:f>
              <c:numCache>
                <c:formatCode>0.0%</c:formatCode>
                <c:ptCount val="5"/>
                <c:pt idx="0">
                  <c:v>0.31</c:v>
                </c:pt>
                <c:pt idx="1">
                  <c:v>0.23499999999999999</c:v>
                </c:pt>
                <c:pt idx="2">
                  <c:v>0.24</c:v>
                </c:pt>
                <c:pt idx="3">
                  <c:v>0.19</c:v>
                </c:pt>
                <c:pt idx="4">
                  <c:v>0.03</c:v>
                </c:pt>
              </c:numCache>
            </c:numRef>
          </c:val>
        </c:ser>
        <c:ser>
          <c:idx val="2"/>
          <c:order val="3"/>
          <c:tx>
            <c:strRef>
              <c:f>'Question 2'!$N$3</c:f>
              <c:strCache>
                <c:ptCount val="1"/>
                <c:pt idx="0">
                  <c:v>May-18</c:v>
                </c:pt>
              </c:strCache>
            </c:strRef>
          </c:tx>
          <c:spPr>
            <a:solidFill>
              <a:srgbClr val="FF0000"/>
            </a:solidFill>
          </c:spPr>
          <c:invertIfNegative val="0"/>
          <c:dLbls>
            <c:dLbl>
              <c:idx val="0"/>
              <c:layout>
                <c:manualLayout>
                  <c:x val="9.9502487562189053E-3"/>
                  <c:y val="0"/>
                </c:manualLayout>
              </c:layout>
              <c:showLegendKey val="0"/>
              <c:showVal val="1"/>
              <c:showCatName val="0"/>
              <c:showSerName val="0"/>
              <c:showPercent val="0"/>
              <c:showBubbleSize val="0"/>
            </c:dLbl>
            <c:dLbl>
              <c:idx val="1"/>
              <c:layout>
                <c:manualLayout>
                  <c:x val="9.9502487562189053E-3"/>
                  <c:y val="5.1679586563307496E-3"/>
                </c:manualLayout>
              </c:layout>
              <c:showLegendKey val="0"/>
              <c:showVal val="1"/>
              <c:showCatName val="0"/>
              <c:showSerName val="0"/>
              <c:showPercent val="0"/>
              <c:showBubbleSize val="0"/>
            </c:dLbl>
            <c:dLbl>
              <c:idx val="3"/>
              <c:layout>
                <c:manualLayout>
                  <c:x val="1.4925373134328358E-2"/>
                  <c:y val="0"/>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2'!$N$4:$N$8</c:f>
              <c:numCache>
                <c:formatCode>0.0%</c:formatCode>
                <c:ptCount val="5"/>
                <c:pt idx="0">
                  <c:v>0.27360000000000001</c:v>
                </c:pt>
                <c:pt idx="1">
                  <c:v>0.22359999999999999</c:v>
                </c:pt>
                <c:pt idx="2">
                  <c:v>0.26050000000000001</c:v>
                </c:pt>
                <c:pt idx="3">
                  <c:v>0.2</c:v>
                </c:pt>
                <c:pt idx="4">
                  <c:v>4.2099999999999999E-2</c:v>
                </c:pt>
              </c:numCache>
            </c:numRef>
          </c:val>
        </c:ser>
        <c:dLbls>
          <c:showLegendKey val="0"/>
          <c:showVal val="0"/>
          <c:showCatName val="0"/>
          <c:showSerName val="0"/>
          <c:showPercent val="0"/>
          <c:showBubbleSize val="0"/>
        </c:dLbls>
        <c:gapWidth val="150"/>
        <c:axId val="91665536"/>
        <c:axId val="91667072"/>
      </c:barChart>
      <c:catAx>
        <c:axId val="91665536"/>
        <c:scaling>
          <c:orientation val="minMax"/>
        </c:scaling>
        <c:delete val="0"/>
        <c:axPos val="b"/>
        <c:numFmt formatCode="General" sourceLinked="0"/>
        <c:majorTickMark val="out"/>
        <c:minorTickMark val="none"/>
        <c:tickLblPos val="nextTo"/>
        <c:crossAx val="91667072"/>
        <c:crosses val="autoZero"/>
        <c:auto val="1"/>
        <c:lblAlgn val="ctr"/>
        <c:lblOffset val="100"/>
        <c:noMultiLvlLbl val="0"/>
      </c:catAx>
      <c:valAx>
        <c:axId val="91667072"/>
        <c:scaling>
          <c:orientation val="minMax"/>
        </c:scaling>
        <c:delete val="0"/>
        <c:axPos val="l"/>
        <c:majorGridlines/>
        <c:numFmt formatCode="0%" sourceLinked="0"/>
        <c:majorTickMark val="out"/>
        <c:minorTickMark val="none"/>
        <c:tickLblPos val="nextTo"/>
        <c:crossAx val="91665536"/>
        <c:crosses val="autoZero"/>
        <c:crossBetween val="between"/>
      </c:valAx>
    </c:plotArea>
    <c:legend>
      <c:legendPos val="r"/>
      <c:layout>
        <c:manualLayout>
          <c:xMode val="edge"/>
          <c:yMode val="edge"/>
          <c:x val="0.8001641399302698"/>
          <c:y val="0.13959307412154875"/>
          <c:w val="0.13425646318523082"/>
          <c:h val="0.31415135608048994"/>
        </c:manualLayout>
      </c:layout>
      <c:overlay val="0"/>
    </c:legend>
    <c:plotVisOnly val="1"/>
    <c:dispBlanksAs val="gap"/>
    <c:showDLblsOverMax val="0"/>
  </c:chart>
  <c:spPr>
    <a:ln>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3"/>
          <c:order val="0"/>
          <c:tx>
            <c:strRef>
              <c:f>Question1!$K$3</c:f>
              <c:strCache>
                <c:ptCount val="1"/>
                <c:pt idx="0">
                  <c:v>Feb-18</c:v>
                </c:pt>
              </c:strCache>
            </c:strRef>
          </c:tx>
          <c:invertIfNegative val="0"/>
          <c:dLbls>
            <c:dLbl>
              <c:idx val="1"/>
              <c:layout>
                <c:manualLayout>
                  <c:x val="-6.8376068376068792E-3"/>
                  <c:y val="1.195814648729447E-2"/>
                </c:manualLayout>
              </c:layout>
              <c:showLegendKey val="0"/>
              <c:showVal val="1"/>
              <c:showCatName val="0"/>
              <c:showSerName val="0"/>
              <c:showPercent val="0"/>
              <c:showBubbleSize val="0"/>
            </c:dLbl>
            <c:dLbl>
              <c:idx val="2"/>
              <c:layout>
                <c:manualLayout>
                  <c:x val="-1.5954415954416039E-2"/>
                  <c:y val="-5.4807538258740775E-17"/>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Question1!$K$4:$K$8</c:f>
              <c:numCache>
                <c:formatCode>0.00%</c:formatCode>
                <c:ptCount val="5"/>
                <c:pt idx="0">
                  <c:v>0.45839999999999997</c:v>
                </c:pt>
                <c:pt idx="1">
                  <c:v>0.20730000000000001</c:v>
                </c:pt>
                <c:pt idx="2">
                  <c:v>0.21060000000000001</c:v>
                </c:pt>
                <c:pt idx="3">
                  <c:v>8.14E-2</c:v>
                </c:pt>
                <c:pt idx="4">
                  <c:v>4.2099999999999999E-2</c:v>
                </c:pt>
              </c:numCache>
            </c:numRef>
          </c:val>
        </c:ser>
        <c:ser>
          <c:idx val="4"/>
          <c:order val="1"/>
          <c:tx>
            <c:strRef>
              <c:f>Question1!$L$3</c:f>
              <c:strCache>
                <c:ptCount val="1"/>
                <c:pt idx="0">
                  <c:v>Mar-18</c:v>
                </c:pt>
              </c:strCache>
            </c:strRef>
          </c:tx>
          <c:invertIfNegative val="0"/>
          <c:dLbls>
            <c:dLbl>
              <c:idx val="0"/>
              <c:layout>
                <c:manualLayout>
                  <c:x val="6.8376068376068376E-3"/>
                  <c:y val="0"/>
                </c:manualLayout>
              </c:layout>
              <c:showLegendKey val="0"/>
              <c:showVal val="1"/>
              <c:showCatName val="0"/>
              <c:showSerName val="0"/>
              <c:showPercent val="0"/>
              <c:showBubbleSize val="0"/>
            </c:dLbl>
            <c:dLbl>
              <c:idx val="1"/>
              <c:layout>
                <c:manualLayout>
                  <c:x val="-9.1168091168091162E-3"/>
                  <c:y val="-5.9790732436472895E-3"/>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Question1!$L$4:$L$8</c:f>
              <c:numCache>
                <c:formatCode>0.00%</c:formatCode>
                <c:ptCount val="5"/>
                <c:pt idx="0">
                  <c:v>0.44</c:v>
                </c:pt>
                <c:pt idx="1">
                  <c:v>0.23300000000000001</c:v>
                </c:pt>
                <c:pt idx="2">
                  <c:v>0.20200000000000001</c:v>
                </c:pt>
                <c:pt idx="3">
                  <c:v>9.2999999999999999E-2</c:v>
                </c:pt>
                <c:pt idx="4">
                  <c:v>3.2000000000000001E-2</c:v>
                </c:pt>
              </c:numCache>
            </c:numRef>
          </c:val>
        </c:ser>
        <c:ser>
          <c:idx val="0"/>
          <c:order val="2"/>
          <c:tx>
            <c:strRef>
              <c:f>Question1!$M$3</c:f>
              <c:strCache>
                <c:ptCount val="1"/>
                <c:pt idx="0">
                  <c:v>Apr-18</c:v>
                </c:pt>
              </c:strCache>
            </c:strRef>
          </c:tx>
          <c:spPr>
            <a:solidFill>
              <a:srgbClr val="00B050"/>
            </a:solidFill>
          </c:spPr>
          <c:invertIfNegative val="0"/>
          <c:dLbls>
            <c:dLbl>
              <c:idx val="0"/>
              <c:layout>
                <c:manualLayout>
                  <c:x val="9.1168091168091162E-3"/>
                  <c:y val="0"/>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Question1!$M$4:$M$8</c:f>
              <c:numCache>
                <c:formatCode>0.00%</c:formatCode>
                <c:ptCount val="5"/>
                <c:pt idx="0">
                  <c:v>0.41</c:v>
                </c:pt>
                <c:pt idx="1">
                  <c:v>0.23100000000000001</c:v>
                </c:pt>
                <c:pt idx="2">
                  <c:v>0.224</c:v>
                </c:pt>
                <c:pt idx="3">
                  <c:v>0.10299999999999999</c:v>
                </c:pt>
                <c:pt idx="4">
                  <c:v>3.2000000000000001E-2</c:v>
                </c:pt>
              </c:numCache>
            </c:numRef>
          </c:val>
        </c:ser>
        <c:ser>
          <c:idx val="1"/>
          <c:order val="3"/>
          <c:tx>
            <c:strRef>
              <c:f>Question1!$N$3</c:f>
              <c:strCache>
                <c:ptCount val="1"/>
                <c:pt idx="0">
                  <c:v>May-18</c:v>
                </c:pt>
              </c:strCache>
            </c:strRef>
          </c:tx>
          <c:invertIfNegative val="0"/>
          <c:dLbls>
            <c:dLbl>
              <c:idx val="0"/>
              <c:layout>
                <c:manualLayout>
                  <c:x val="1.3675213675213634E-2"/>
                  <c:y val="0"/>
                </c:manualLayout>
              </c:layout>
              <c:showLegendKey val="0"/>
              <c:showVal val="1"/>
              <c:showCatName val="0"/>
              <c:showSerName val="0"/>
              <c:showPercent val="0"/>
              <c:showBubbleSize val="0"/>
            </c:dLbl>
            <c:dLbl>
              <c:idx val="1"/>
              <c:layout>
                <c:manualLayout>
                  <c:x val="1.1396011396011397E-2"/>
                  <c:y val="1.1958146487294414E-2"/>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Question1!$N$4:$N$8</c:f>
              <c:numCache>
                <c:formatCode>0.00%</c:formatCode>
                <c:ptCount val="5"/>
                <c:pt idx="0">
                  <c:v>0.3805</c:v>
                </c:pt>
                <c:pt idx="1">
                  <c:v>0.23089999999999999</c:v>
                </c:pt>
                <c:pt idx="2">
                  <c:v>0.27289999999999998</c:v>
                </c:pt>
                <c:pt idx="3">
                  <c:v>8.9200000000000002E-2</c:v>
                </c:pt>
                <c:pt idx="4">
                  <c:v>2.6200000000000001E-2</c:v>
                </c:pt>
              </c:numCache>
            </c:numRef>
          </c:val>
        </c:ser>
        <c:dLbls>
          <c:showLegendKey val="0"/>
          <c:showVal val="0"/>
          <c:showCatName val="0"/>
          <c:showSerName val="0"/>
          <c:showPercent val="0"/>
          <c:showBubbleSize val="0"/>
        </c:dLbls>
        <c:gapWidth val="150"/>
        <c:axId val="91683072"/>
        <c:axId val="92291072"/>
      </c:barChart>
      <c:catAx>
        <c:axId val="91683072"/>
        <c:scaling>
          <c:orientation val="minMax"/>
        </c:scaling>
        <c:delete val="0"/>
        <c:axPos val="b"/>
        <c:numFmt formatCode="General" sourceLinked="0"/>
        <c:majorTickMark val="out"/>
        <c:minorTickMark val="none"/>
        <c:tickLblPos val="nextTo"/>
        <c:crossAx val="92291072"/>
        <c:crosses val="autoZero"/>
        <c:auto val="1"/>
        <c:lblAlgn val="ctr"/>
        <c:lblOffset val="100"/>
        <c:noMultiLvlLbl val="0"/>
      </c:catAx>
      <c:valAx>
        <c:axId val="92291072"/>
        <c:scaling>
          <c:orientation val="minMax"/>
        </c:scaling>
        <c:delete val="0"/>
        <c:axPos val="l"/>
        <c:majorGridlines/>
        <c:numFmt formatCode="0%" sourceLinked="0"/>
        <c:majorTickMark val="out"/>
        <c:minorTickMark val="none"/>
        <c:tickLblPos val="nextTo"/>
        <c:crossAx val="91683072"/>
        <c:crosses val="autoZero"/>
        <c:crossBetween val="between"/>
      </c:valAx>
    </c:plotArea>
    <c:legend>
      <c:legendPos val="r"/>
      <c:layout>
        <c:manualLayout>
          <c:xMode val="edge"/>
          <c:yMode val="edge"/>
          <c:x val="0.72582111851403186"/>
          <c:y val="7.1541259136329929E-2"/>
          <c:w val="0.10474639388025214"/>
          <c:h val="0.29375191737396461"/>
        </c:manualLayout>
      </c:layout>
      <c:overlay val="0"/>
    </c:legend>
    <c:plotVisOnly val="1"/>
    <c:dispBlanksAs val="gap"/>
    <c:showDLblsOverMax val="0"/>
  </c:chart>
  <c:spPr>
    <a:ln>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7F229-D9BE-4633-B1ED-EDEABC46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17</cp:revision>
  <cp:lastPrinted>2018-07-13T02:23:00Z</cp:lastPrinted>
  <dcterms:created xsi:type="dcterms:W3CDTF">2018-07-12T13:58:00Z</dcterms:created>
  <dcterms:modified xsi:type="dcterms:W3CDTF">2018-07-13T06:12:00Z</dcterms:modified>
</cp:coreProperties>
</file>