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D098" w14:textId="7011C06D" w:rsidR="00360057" w:rsidRPr="00FD534D" w:rsidRDefault="00925659" w:rsidP="00C32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GB" w:eastAsia="en-GB"/>
        </w:rPr>
      </w:pPr>
      <w:r w:rsidRPr="00FD534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GB" w:eastAsia="en-GB"/>
        </w:rPr>
        <w:t>Business Inflation Expectations Survey (BIES)</w:t>
      </w:r>
      <w:r w:rsidR="00B96C5A" w:rsidRPr="00FD534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GB" w:eastAsia="en-GB"/>
        </w:rPr>
        <w:t xml:space="preserve"> – </w:t>
      </w:r>
      <w:r w:rsidR="00AB1C4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GB" w:eastAsia="en-GB"/>
        </w:rPr>
        <w:t>February</w:t>
      </w:r>
      <w:r w:rsidR="00BA78E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r w:rsidR="00C6596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GB" w:eastAsia="en-GB"/>
        </w:rPr>
        <w:t>202</w:t>
      </w:r>
      <w:r w:rsidR="000B54A3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GB" w:eastAsia="en-GB"/>
        </w:rPr>
        <w:t>2</w:t>
      </w:r>
    </w:p>
    <w:p w14:paraId="1D3B2346" w14:textId="17159967" w:rsidR="00FC49EB" w:rsidRDefault="00FC49EB" w:rsidP="00C32E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AAC049" w14:textId="5B9F8F61" w:rsidR="00C006C5" w:rsidRDefault="00C006C5" w:rsidP="00C32E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4FD1C8" w14:textId="5073A8E0" w:rsidR="00C006C5" w:rsidRPr="00727CA4" w:rsidRDefault="00C006C5" w:rsidP="00C00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006C5">
        <w:rPr>
          <w:rFonts w:ascii="Times New Roman" w:hAnsi="Times New Roman" w:cs="Times New Roman"/>
          <w:b/>
          <w:bCs/>
          <w:sz w:val="20"/>
          <w:szCs w:val="20"/>
          <w:lang w:eastAsia="en-IN"/>
        </w:rPr>
        <w:t>April 6, 2022: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 </w:t>
      </w:r>
      <w:r w:rsidRPr="00727CA4">
        <w:rPr>
          <w:rFonts w:ascii="Times New Roman" w:hAnsi="Times New Roman" w:cs="Times New Roman"/>
          <w:sz w:val="20"/>
          <w:szCs w:val="20"/>
          <w:lang w:eastAsia="en-IN"/>
        </w:rPr>
        <w:t xml:space="preserve">The Business Inflation Expectations Survey (BIES) provides ways to examine the amount of slack in the economy by polling a panel of business leaders about their inflation expectations in the short and </w:t>
      </w:r>
      <w:r>
        <w:rPr>
          <w:rFonts w:ascii="Times New Roman" w:hAnsi="Times New Roman" w:cs="Times New Roman"/>
          <w:sz w:val="20"/>
          <w:szCs w:val="20"/>
          <w:lang w:eastAsia="en-IN"/>
        </w:rPr>
        <w:t>medium-term</w:t>
      </w:r>
      <w:r w:rsidRPr="00727CA4">
        <w:rPr>
          <w:rFonts w:ascii="Times New Roman" w:hAnsi="Times New Roman" w:cs="Times New Roman"/>
          <w:sz w:val="20"/>
          <w:szCs w:val="20"/>
          <w:lang w:eastAsia="en-IN"/>
        </w:rPr>
        <w:t>. This monthly survey asks questions about year-ahead cost expectations and the factors influencing price changes, such as profit, sales levels, etc. The survey is unique in that it goes straight to businesses</w:t>
      </w:r>
      <w:r>
        <w:rPr>
          <w:rFonts w:ascii="Times New Roman" w:hAnsi="Times New Roman" w:cs="Times New Roman"/>
          <w:sz w:val="20"/>
          <w:szCs w:val="20"/>
          <w:lang w:eastAsia="en-IN"/>
        </w:rPr>
        <w:t xml:space="preserve"> - the price setters -</w:t>
      </w:r>
      <w:r w:rsidRPr="00727CA4">
        <w:rPr>
          <w:rFonts w:ascii="Times New Roman" w:hAnsi="Times New Roman" w:cs="Times New Roman"/>
          <w:sz w:val="20"/>
          <w:szCs w:val="20"/>
          <w:lang w:eastAsia="en-IN"/>
        </w:rPr>
        <w:t xml:space="preserve"> rather than to consumers or households, to understand their expectations of the price level changes. </w:t>
      </w:r>
      <w:r w:rsidRPr="00727CA4">
        <w:rPr>
          <w:rFonts w:ascii="Times New Roman" w:eastAsia="Times New Roman" w:hAnsi="Times New Roman" w:cs="Times New Roman"/>
          <w:sz w:val="20"/>
          <w:szCs w:val="20"/>
          <w:lang w:val="en-US"/>
        </w:rPr>
        <w:t>One major advantage of BIES is that one can get a probabilistic assessment of inflation expectations and thus get a measure of uncertainty. It also provides an indirect assessment of overall demand condition of the economy. Results of this Survey are, therefore, useful in understanding the inflation expectations of business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es </w:t>
      </w:r>
      <w:r w:rsidRPr="00727C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and complement other macro data required for policy making.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With</w:t>
      </w:r>
      <w:r w:rsidRPr="00727C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this objective,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BIES was </w:t>
      </w:r>
      <w:r w:rsidRPr="00727C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introduced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at IIMA</w:t>
      </w:r>
      <w:r w:rsidRPr="00727C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from May 2017. The questionnaire of BIES is finalized based on the detailed feedback received from the industry, </w:t>
      </w:r>
      <w:proofErr w:type="gramStart"/>
      <w:r w:rsidRPr="00727CA4">
        <w:rPr>
          <w:rFonts w:ascii="Times New Roman" w:eastAsia="Times New Roman" w:hAnsi="Times New Roman" w:cs="Times New Roman"/>
          <w:sz w:val="20"/>
          <w:szCs w:val="20"/>
          <w:lang w:val="en-US"/>
        </w:rPr>
        <w:t>academicians</w:t>
      </w:r>
      <w:proofErr w:type="gramEnd"/>
      <w:r w:rsidRPr="00727C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policy makers. A copy of the questionnai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re is annexed</w:t>
      </w:r>
      <w:r w:rsidRPr="00727C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</w:p>
    <w:p w14:paraId="7B2FCCFB" w14:textId="77777777" w:rsidR="00C006C5" w:rsidRPr="00727CA4" w:rsidRDefault="00C006C5" w:rsidP="00C00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34C546F" w14:textId="32F8FEDB" w:rsidR="00C006C5" w:rsidRDefault="00C006C5" w:rsidP="00C00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27CA4">
        <w:rPr>
          <w:rFonts w:ascii="Times New Roman" w:eastAsia="Times New Roman" w:hAnsi="Times New Roman" w:cs="Times New Roman"/>
          <w:sz w:val="20"/>
          <w:szCs w:val="20"/>
          <w:lang w:val="en-US"/>
        </w:rPr>
        <w:t>Companies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are selected primarily from</w:t>
      </w:r>
      <w:r w:rsidRPr="00727C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manufacturing sector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 The</w:t>
      </w:r>
      <w:r w:rsidRPr="00727C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“</w:t>
      </w:r>
      <w:r w:rsidRPr="00727C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BIES -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February</w:t>
      </w:r>
      <w:r w:rsidRPr="00727C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22”</w:t>
      </w:r>
      <w:r w:rsidRPr="00727C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is the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58</w:t>
      </w:r>
      <w:r w:rsidRPr="002F6C65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27C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round of the Survey. These results are based on the responses of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around 1000</w:t>
      </w:r>
      <w:r w:rsidRPr="00727CA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companies.</w:t>
      </w:r>
    </w:p>
    <w:p w14:paraId="1555DF6B" w14:textId="77777777" w:rsidR="00C006C5" w:rsidRPr="00B51681" w:rsidRDefault="00C006C5" w:rsidP="00C006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4A3479" w14:textId="0FBBA384" w:rsidR="001D09C4" w:rsidRDefault="00961726" w:rsidP="00C32E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 </w:t>
      </w:r>
      <w:r w:rsidR="001D09C4" w:rsidRPr="00C81AC1">
        <w:rPr>
          <w:rFonts w:ascii="Times New Roman" w:hAnsi="Times New Roman" w:cs="Times New Roman"/>
          <w:b/>
        </w:rPr>
        <w:t>Inflation expectation</w:t>
      </w:r>
      <w:r w:rsidR="004A5ABA">
        <w:rPr>
          <w:rFonts w:ascii="Times New Roman" w:hAnsi="Times New Roman" w:cs="Times New Roman"/>
          <w:b/>
        </w:rPr>
        <w:t>s</w:t>
      </w:r>
    </w:p>
    <w:p w14:paraId="705C3A72" w14:textId="77777777" w:rsidR="00FC49EB" w:rsidRPr="00C81AC1" w:rsidRDefault="00FC49EB" w:rsidP="00C32EC0">
      <w:pPr>
        <w:spacing w:after="0" w:line="240" w:lineRule="auto"/>
        <w:rPr>
          <w:rFonts w:ascii="Times New Roman" w:hAnsi="Times New Roman" w:cs="Times New Roman"/>
          <w:b/>
        </w:rPr>
      </w:pPr>
    </w:p>
    <w:p w14:paraId="306CF0B5" w14:textId="031CF021" w:rsidR="00435AC3" w:rsidRPr="00EB118F" w:rsidRDefault="00435AC3" w:rsidP="00DA1680">
      <w:pPr>
        <w:pStyle w:val="ListParagraph"/>
        <w:numPr>
          <w:ilvl w:val="0"/>
          <w:numId w:val="11"/>
        </w:num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val="en-GB" w:eastAsia="en-GB"/>
        </w:rPr>
      </w:pPr>
      <w:r w:rsidRPr="008D6D83">
        <w:rPr>
          <w:rFonts w:ascii="Times New Roman" w:hAnsi="Times New Roman" w:cs="Times New Roman"/>
          <w:bCs/>
        </w:rPr>
        <w:t>One year ahead business inflation expectation</w:t>
      </w:r>
      <w:r w:rsidR="00954378">
        <w:rPr>
          <w:rFonts w:ascii="Times New Roman" w:hAnsi="Times New Roman" w:cs="Times New Roman"/>
          <w:bCs/>
        </w:rPr>
        <w:t>s</w:t>
      </w:r>
      <w:r w:rsidR="003268A4">
        <w:rPr>
          <w:rFonts w:ascii="Times New Roman" w:hAnsi="Times New Roman" w:cs="Times New Roman"/>
          <w:bCs/>
        </w:rPr>
        <w:t xml:space="preserve"> in </w:t>
      </w:r>
      <w:r w:rsidR="00660DDA">
        <w:rPr>
          <w:rFonts w:ascii="Times New Roman" w:hAnsi="Times New Roman" w:cs="Times New Roman"/>
          <w:bCs/>
        </w:rPr>
        <w:t>Febr</w:t>
      </w:r>
      <w:r w:rsidR="00170B41">
        <w:rPr>
          <w:rFonts w:ascii="Times New Roman" w:hAnsi="Times New Roman" w:cs="Times New Roman"/>
          <w:bCs/>
        </w:rPr>
        <w:t>uary</w:t>
      </w:r>
      <w:r w:rsidR="003268A4">
        <w:rPr>
          <w:rFonts w:ascii="Times New Roman" w:hAnsi="Times New Roman" w:cs="Times New Roman"/>
          <w:bCs/>
        </w:rPr>
        <w:t xml:space="preserve"> 202</w:t>
      </w:r>
      <w:r w:rsidR="00880677">
        <w:rPr>
          <w:rFonts w:ascii="Times New Roman" w:hAnsi="Times New Roman" w:cs="Times New Roman"/>
          <w:bCs/>
        </w:rPr>
        <w:t>2</w:t>
      </w:r>
      <w:r w:rsidRPr="008D6D83">
        <w:rPr>
          <w:rFonts w:ascii="Times New Roman" w:hAnsi="Times New Roman" w:cs="Times New Roman"/>
          <w:bCs/>
        </w:rPr>
        <w:t xml:space="preserve">, as estimated from the mean </w:t>
      </w:r>
      <w:r>
        <w:rPr>
          <w:rFonts w:ascii="Times New Roman" w:hAnsi="Times New Roman" w:cs="Times New Roman"/>
          <w:bCs/>
        </w:rPr>
        <w:t xml:space="preserve">of individual </w:t>
      </w:r>
      <w:r w:rsidRPr="008D6D83">
        <w:rPr>
          <w:rFonts w:ascii="Times New Roman" w:hAnsi="Times New Roman" w:cs="Times New Roman"/>
          <w:bCs/>
        </w:rPr>
        <w:t>probability distribution of unit cost increase</w:t>
      </w:r>
      <w:r w:rsidR="00EA280B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ha</w:t>
      </w:r>
      <w:r w:rsidR="00BA11D9">
        <w:rPr>
          <w:rFonts w:ascii="Times New Roman" w:hAnsi="Times New Roman" w:cs="Times New Roman"/>
          <w:bCs/>
        </w:rPr>
        <w:t>ve</w:t>
      </w:r>
      <w:r>
        <w:rPr>
          <w:rFonts w:ascii="Times New Roman" w:hAnsi="Times New Roman" w:cs="Times New Roman"/>
          <w:bCs/>
        </w:rPr>
        <w:t xml:space="preserve"> </w:t>
      </w:r>
      <w:r w:rsidR="00660DDA">
        <w:rPr>
          <w:rFonts w:ascii="Times New Roman" w:hAnsi="Times New Roman" w:cs="Times New Roman"/>
          <w:bCs/>
        </w:rPr>
        <w:t xml:space="preserve">further </w:t>
      </w:r>
      <w:r w:rsidR="00700977">
        <w:rPr>
          <w:rFonts w:ascii="Times New Roman" w:hAnsi="Times New Roman" w:cs="Times New Roman"/>
          <w:bCs/>
        </w:rPr>
        <w:t xml:space="preserve">increased </w:t>
      </w:r>
      <w:r w:rsidR="002C3C75">
        <w:rPr>
          <w:rFonts w:ascii="Times New Roman" w:hAnsi="Times New Roman" w:cs="Times New Roman"/>
          <w:bCs/>
        </w:rPr>
        <w:t>by</w:t>
      </w:r>
      <w:r w:rsidR="00E914D9">
        <w:rPr>
          <w:rFonts w:ascii="Times New Roman" w:hAnsi="Times New Roman" w:cs="Times New Roman"/>
          <w:bCs/>
        </w:rPr>
        <w:t xml:space="preserve"> </w:t>
      </w:r>
      <w:r w:rsidR="00660DDA">
        <w:rPr>
          <w:rFonts w:ascii="Times New Roman" w:hAnsi="Times New Roman" w:cs="Times New Roman"/>
          <w:bCs/>
        </w:rPr>
        <w:t>15</w:t>
      </w:r>
      <w:r w:rsidR="00E914D9">
        <w:rPr>
          <w:rFonts w:ascii="Times New Roman" w:hAnsi="Times New Roman" w:cs="Times New Roman"/>
          <w:bCs/>
        </w:rPr>
        <w:t xml:space="preserve"> basis points to</w:t>
      </w:r>
      <w:r w:rsidR="00015899">
        <w:rPr>
          <w:rFonts w:ascii="Times New Roman" w:hAnsi="Times New Roman" w:cs="Times New Roman"/>
          <w:bCs/>
        </w:rPr>
        <w:t xml:space="preserve"> </w:t>
      </w:r>
      <w:r w:rsidR="00DD08FD">
        <w:rPr>
          <w:rFonts w:ascii="Times New Roman" w:hAnsi="Times New Roman" w:cs="Times New Roman"/>
          <w:bCs/>
        </w:rPr>
        <w:t>6.0</w:t>
      </w:r>
      <w:r w:rsidR="00660DDA">
        <w:rPr>
          <w:rFonts w:ascii="Times New Roman" w:hAnsi="Times New Roman" w:cs="Times New Roman"/>
          <w:bCs/>
        </w:rPr>
        <w:t>9</w:t>
      </w:r>
      <w:r w:rsidR="001962BE">
        <w:rPr>
          <w:rFonts w:ascii="Times New Roman" w:hAnsi="Times New Roman" w:cs="Times New Roman"/>
          <w:bCs/>
        </w:rPr>
        <w:t xml:space="preserve">% from </w:t>
      </w:r>
      <w:r w:rsidR="00880677">
        <w:rPr>
          <w:rFonts w:ascii="Times New Roman" w:hAnsi="Times New Roman" w:cs="Times New Roman"/>
          <w:bCs/>
        </w:rPr>
        <w:t>5.</w:t>
      </w:r>
      <w:r w:rsidR="00660DDA">
        <w:rPr>
          <w:rFonts w:ascii="Times New Roman" w:hAnsi="Times New Roman" w:cs="Times New Roman"/>
          <w:bCs/>
        </w:rPr>
        <w:t>94</w:t>
      </w:r>
      <w:r w:rsidR="00880677">
        <w:rPr>
          <w:rFonts w:ascii="Times New Roman" w:hAnsi="Times New Roman" w:cs="Times New Roman"/>
          <w:bCs/>
        </w:rPr>
        <w:t xml:space="preserve">% </w:t>
      </w:r>
      <w:r w:rsidR="00EA280B">
        <w:rPr>
          <w:rFonts w:ascii="Times New Roman" w:hAnsi="Times New Roman" w:cs="Times New Roman"/>
          <w:bCs/>
        </w:rPr>
        <w:t>r</w:t>
      </w:r>
      <w:r w:rsidR="00472BB9">
        <w:rPr>
          <w:rFonts w:ascii="Times New Roman" w:hAnsi="Times New Roman" w:cs="Times New Roman"/>
          <w:bCs/>
        </w:rPr>
        <w:t>eport</w:t>
      </w:r>
      <w:r w:rsidR="00F05265">
        <w:rPr>
          <w:rFonts w:ascii="Times New Roman" w:hAnsi="Times New Roman" w:cs="Times New Roman"/>
          <w:bCs/>
        </w:rPr>
        <w:t>ed</w:t>
      </w:r>
      <w:r w:rsidR="00472BB9">
        <w:rPr>
          <w:rFonts w:ascii="Times New Roman" w:hAnsi="Times New Roman" w:cs="Times New Roman"/>
          <w:bCs/>
        </w:rPr>
        <w:t xml:space="preserve"> </w:t>
      </w:r>
      <w:r w:rsidR="002E0B96">
        <w:rPr>
          <w:rFonts w:ascii="Times New Roman" w:hAnsi="Times New Roman" w:cs="Times New Roman"/>
          <w:bCs/>
        </w:rPr>
        <w:t xml:space="preserve">in </w:t>
      </w:r>
      <w:r w:rsidR="00660DDA">
        <w:rPr>
          <w:rFonts w:ascii="Times New Roman" w:hAnsi="Times New Roman" w:cs="Times New Roman"/>
          <w:bCs/>
        </w:rPr>
        <w:t>January</w:t>
      </w:r>
      <w:r w:rsidR="002E0B96">
        <w:rPr>
          <w:rFonts w:ascii="Times New Roman" w:hAnsi="Times New Roman" w:cs="Times New Roman"/>
          <w:bCs/>
        </w:rPr>
        <w:t xml:space="preserve"> 202</w:t>
      </w:r>
      <w:r w:rsidR="00660DDA">
        <w:rPr>
          <w:rFonts w:ascii="Times New Roman" w:hAnsi="Times New Roman" w:cs="Times New Roman"/>
          <w:bCs/>
        </w:rPr>
        <w:t>2</w:t>
      </w:r>
      <w:r w:rsidR="000F4528">
        <w:rPr>
          <w:rFonts w:ascii="Times New Roman" w:hAnsi="Times New Roman" w:cs="Times New Roman"/>
          <w:bCs/>
        </w:rPr>
        <w:t>.</w:t>
      </w:r>
      <w:r w:rsidR="00DA1680">
        <w:rPr>
          <w:rFonts w:ascii="Times New Roman" w:hAnsi="Times New Roman" w:cs="Times New Roman"/>
          <w:bCs/>
        </w:rPr>
        <w:t xml:space="preserve"> </w:t>
      </w:r>
      <w:r w:rsidR="00C05DDC">
        <w:rPr>
          <w:rFonts w:ascii="Times New Roman" w:hAnsi="Times New Roman" w:cs="Times New Roman"/>
          <w:bCs/>
        </w:rPr>
        <w:t>The t</w:t>
      </w:r>
      <w:r w:rsidR="00C05DDC" w:rsidRPr="00EB118F">
        <w:rPr>
          <w:rFonts w:ascii="Times New Roman" w:hAnsi="Times New Roman" w:cs="Times New Roman"/>
          <w:bCs/>
        </w:rPr>
        <w:t xml:space="preserve">rajectory of one year ahead business inflation expectations is presented </w:t>
      </w:r>
      <w:r w:rsidR="00C05DDC">
        <w:rPr>
          <w:rFonts w:ascii="Times New Roman" w:hAnsi="Times New Roman" w:cs="Times New Roman"/>
          <w:bCs/>
        </w:rPr>
        <w:t>in</w:t>
      </w:r>
      <w:r w:rsidR="00C05DDC" w:rsidRPr="00EB118F">
        <w:rPr>
          <w:rFonts w:ascii="Times New Roman" w:hAnsi="Times New Roman" w:cs="Times New Roman"/>
          <w:bCs/>
        </w:rPr>
        <w:t xml:space="preserve"> Chart 1.  </w:t>
      </w:r>
      <w:r w:rsidRPr="00EB118F">
        <w:rPr>
          <w:rFonts w:ascii="Times New Roman" w:hAnsi="Times New Roman" w:cs="Times New Roman"/>
          <w:bCs/>
        </w:rPr>
        <w:t xml:space="preserve"> </w:t>
      </w:r>
    </w:p>
    <w:p w14:paraId="5E5B2638" w14:textId="21846DFC" w:rsidR="00435AC3" w:rsidRPr="00FC49EB" w:rsidRDefault="00435AC3" w:rsidP="00C32EC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n-GB" w:eastAsia="en-GB"/>
        </w:rPr>
      </w:pPr>
    </w:p>
    <w:p w14:paraId="69D623B5" w14:textId="4E308F9B" w:rsidR="00435AC3" w:rsidRPr="000F5617" w:rsidRDefault="00613F01" w:rsidP="00C32EC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val="en-GB" w:eastAsia="en-GB"/>
        </w:rPr>
      </w:pPr>
      <w:r>
        <w:rPr>
          <w:rFonts w:ascii="Times New Roman" w:hAnsi="Times New Roman" w:cs="Times New Roman"/>
          <w:bCs/>
        </w:rPr>
        <w:t>T</w:t>
      </w:r>
      <w:r w:rsidR="00C05DDC">
        <w:rPr>
          <w:rFonts w:ascii="Times New Roman" w:hAnsi="Times New Roman" w:cs="Times New Roman"/>
          <w:bCs/>
        </w:rPr>
        <w:t>he u</w:t>
      </w:r>
      <w:r w:rsidR="00435AC3" w:rsidRPr="00FC49EB">
        <w:rPr>
          <w:rFonts w:ascii="Times New Roman" w:hAnsi="Times New Roman" w:cs="Times New Roman"/>
          <w:bCs/>
        </w:rPr>
        <w:t>ncertainty of business inflation expectation</w:t>
      </w:r>
      <w:r w:rsidR="00954378">
        <w:rPr>
          <w:rFonts w:ascii="Times New Roman" w:hAnsi="Times New Roman" w:cs="Times New Roman"/>
          <w:bCs/>
        </w:rPr>
        <w:t>s</w:t>
      </w:r>
      <w:r w:rsidR="001559BA">
        <w:rPr>
          <w:rFonts w:ascii="Times New Roman" w:hAnsi="Times New Roman" w:cs="Times New Roman"/>
          <w:bCs/>
        </w:rPr>
        <w:t xml:space="preserve"> in </w:t>
      </w:r>
      <w:r w:rsidR="00442672">
        <w:rPr>
          <w:rFonts w:ascii="Times New Roman" w:hAnsi="Times New Roman" w:cs="Times New Roman"/>
          <w:bCs/>
        </w:rPr>
        <w:t>February</w:t>
      </w:r>
      <w:r w:rsidR="001559BA">
        <w:rPr>
          <w:rFonts w:ascii="Times New Roman" w:hAnsi="Times New Roman" w:cs="Times New Roman"/>
          <w:bCs/>
        </w:rPr>
        <w:t xml:space="preserve"> 202</w:t>
      </w:r>
      <w:r w:rsidR="00754746">
        <w:rPr>
          <w:rFonts w:ascii="Times New Roman" w:hAnsi="Times New Roman" w:cs="Times New Roman"/>
          <w:bCs/>
        </w:rPr>
        <w:t>2</w:t>
      </w:r>
      <w:r w:rsidR="00435AC3" w:rsidRPr="00FC49EB">
        <w:rPr>
          <w:rFonts w:ascii="Times New Roman" w:hAnsi="Times New Roman" w:cs="Times New Roman"/>
          <w:bCs/>
        </w:rPr>
        <w:t xml:space="preserve">, as captured by the </w:t>
      </w:r>
      <w:r w:rsidR="00435AC3">
        <w:rPr>
          <w:rFonts w:ascii="Times New Roman" w:hAnsi="Times New Roman" w:cs="Times New Roman"/>
          <w:bCs/>
        </w:rPr>
        <w:t>square root of the average variance o</w:t>
      </w:r>
      <w:r w:rsidR="00435AC3" w:rsidRPr="00FC49EB">
        <w:rPr>
          <w:rFonts w:ascii="Times New Roman" w:hAnsi="Times New Roman" w:cs="Times New Roman"/>
          <w:bCs/>
        </w:rPr>
        <w:t xml:space="preserve">f the </w:t>
      </w:r>
      <w:r w:rsidR="00435AC3">
        <w:rPr>
          <w:rFonts w:ascii="Times New Roman" w:hAnsi="Times New Roman" w:cs="Times New Roman"/>
          <w:bCs/>
        </w:rPr>
        <w:t xml:space="preserve">individual </w:t>
      </w:r>
      <w:r w:rsidR="00435AC3" w:rsidRPr="00FC49EB">
        <w:rPr>
          <w:rFonts w:ascii="Times New Roman" w:hAnsi="Times New Roman" w:cs="Times New Roman"/>
          <w:bCs/>
        </w:rPr>
        <w:t>probability distribution</w:t>
      </w:r>
      <w:r w:rsidR="00435AC3">
        <w:rPr>
          <w:rFonts w:ascii="Times New Roman" w:hAnsi="Times New Roman" w:cs="Times New Roman"/>
          <w:bCs/>
        </w:rPr>
        <w:t xml:space="preserve"> of unit cost increase,</w:t>
      </w:r>
      <w:r w:rsidR="00435AC3" w:rsidRPr="00FC49EB">
        <w:rPr>
          <w:rFonts w:ascii="Times New Roman" w:hAnsi="Times New Roman" w:cs="Times New Roman"/>
          <w:bCs/>
        </w:rPr>
        <w:t xml:space="preserve"> </w:t>
      </w:r>
      <w:r w:rsidR="00435AC3">
        <w:rPr>
          <w:rFonts w:ascii="Times New Roman" w:hAnsi="Times New Roman" w:cs="Times New Roman"/>
          <w:bCs/>
        </w:rPr>
        <w:t>has</w:t>
      </w:r>
      <w:r w:rsidR="00E22CE6">
        <w:rPr>
          <w:rFonts w:ascii="Times New Roman" w:hAnsi="Times New Roman" w:cs="Times New Roman"/>
          <w:bCs/>
        </w:rPr>
        <w:t xml:space="preserve"> </w:t>
      </w:r>
      <w:r w:rsidR="00D1457D">
        <w:rPr>
          <w:rFonts w:ascii="Times New Roman" w:hAnsi="Times New Roman" w:cs="Times New Roman"/>
          <w:bCs/>
        </w:rPr>
        <w:t xml:space="preserve">remained around </w:t>
      </w:r>
      <w:r w:rsidR="00754746">
        <w:rPr>
          <w:rFonts w:ascii="Times New Roman" w:hAnsi="Times New Roman" w:cs="Times New Roman"/>
          <w:bCs/>
        </w:rPr>
        <w:t>2.1</w:t>
      </w:r>
      <w:r w:rsidR="00700977">
        <w:rPr>
          <w:rFonts w:ascii="Times New Roman" w:hAnsi="Times New Roman" w:cs="Times New Roman"/>
          <w:bCs/>
        </w:rPr>
        <w:t>%</w:t>
      </w:r>
      <w:r w:rsidR="004A63DC">
        <w:rPr>
          <w:rFonts w:ascii="Times New Roman" w:hAnsi="Times New Roman" w:cs="Times New Roman"/>
          <w:bCs/>
        </w:rPr>
        <w:t>, same as</w:t>
      </w:r>
      <w:r w:rsidR="00700977">
        <w:rPr>
          <w:rFonts w:ascii="Times New Roman" w:hAnsi="Times New Roman" w:cs="Times New Roman"/>
          <w:bCs/>
        </w:rPr>
        <w:t xml:space="preserve"> reported in </w:t>
      </w:r>
      <w:r w:rsidR="00D1457D">
        <w:rPr>
          <w:rFonts w:ascii="Times New Roman" w:hAnsi="Times New Roman" w:cs="Times New Roman"/>
          <w:bCs/>
        </w:rPr>
        <w:t xml:space="preserve">January </w:t>
      </w:r>
      <w:r w:rsidR="00700977">
        <w:rPr>
          <w:rFonts w:ascii="Times New Roman" w:hAnsi="Times New Roman" w:cs="Times New Roman"/>
          <w:bCs/>
        </w:rPr>
        <w:t>20</w:t>
      </w:r>
      <w:r w:rsidR="00185803">
        <w:rPr>
          <w:rFonts w:ascii="Times New Roman" w:hAnsi="Times New Roman" w:cs="Times New Roman"/>
          <w:bCs/>
        </w:rPr>
        <w:t>2</w:t>
      </w:r>
      <w:r w:rsidR="00D1457D">
        <w:rPr>
          <w:rFonts w:ascii="Times New Roman" w:hAnsi="Times New Roman" w:cs="Times New Roman"/>
          <w:bCs/>
        </w:rPr>
        <w:t>2</w:t>
      </w:r>
      <w:r w:rsidR="00435AC3" w:rsidRPr="00FC49EB">
        <w:rPr>
          <w:rFonts w:ascii="Times New Roman" w:hAnsi="Times New Roman" w:cs="Times New Roman"/>
          <w:bCs/>
        </w:rPr>
        <w:t>.</w:t>
      </w:r>
    </w:p>
    <w:p w14:paraId="0DF0BC20" w14:textId="35EEB156" w:rsidR="000F5617" w:rsidRDefault="000F5617" w:rsidP="00C32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C81099" w14:textId="4D744A7E" w:rsidR="001D09C4" w:rsidRDefault="001D09C4" w:rsidP="00C32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733">
        <w:rPr>
          <w:rFonts w:ascii="Times New Roman" w:hAnsi="Times New Roman" w:cs="Times New Roman"/>
          <w:b/>
        </w:rPr>
        <w:t xml:space="preserve">Chart 1: </w:t>
      </w:r>
      <w:r w:rsidR="00FB3733" w:rsidRPr="00FB3733">
        <w:rPr>
          <w:rFonts w:ascii="Times New Roman" w:hAnsi="Times New Roman" w:cs="Times New Roman"/>
          <w:b/>
          <w:bCs/>
        </w:rPr>
        <w:t>One year ahead business inflation expectation</w:t>
      </w:r>
      <w:r w:rsidR="00583611">
        <w:rPr>
          <w:rFonts w:ascii="Times New Roman" w:hAnsi="Times New Roman" w:cs="Times New Roman"/>
          <w:b/>
          <w:bCs/>
        </w:rPr>
        <w:t>s</w:t>
      </w:r>
      <w:r w:rsidR="00FB3733" w:rsidRPr="00FB3733">
        <w:rPr>
          <w:rFonts w:ascii="Times New Roman" w:hAnsi="Times New Roman" w:cs="Times New Roman"/>
          <w:b/>
        </w:rPr>
        <w:t xml:space="preserve"> </w:t>
      </w:r>
      <w:r w:rsidRPr="00FB3733">
        <w:rPr>
          <w:rFonts w:ascii="Times New Roman" w:hAnsi="Times New Roman" w:cs="Times New Roman"/>
          <w:b/>
        </w:rPr>
        <w:t>(%)</w:t>
      </w:r>
    </w:p>
    <w:p w14:paraId="015AA5EF" w14:textId="2B461C1F" w:rsidR="007E6E3C" w:rsidRDefault="007E6E3C" w:rsidP="00C32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B199CB" w14:textId="01671659" w:rsidR="007E6E3C" w:rsidRDefault="007E6E3C" w:rsidP="00C32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en-IN"/>
        </w:rPr>
        <w:drawing>
          <wp:inline distT="0" distB="0" distL="0" distR="0" wp14:anchorId="6AD107CE" wp14:editId="6404AF9E">
            <wp:extent cx="5038725" cy="27336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F68F92" w14:textId="1E50CC98" w:rsidR="007E6E3C" w:rsidRDefault="007E6E3C" w:rsidP="00C32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D6EAAD" w14:textId="77777777" w:rsidR="00161778" w:rsidRPr="00417C62" w:rsidRDefault="00161778" w:rsidP="0016177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val="en-GB" w:eastAsia="en-GB"/>
        </w:rPr>
      </w:pPr>
      <w:r>
        <w:rPr>
          <w:rFonts w:ascii="Times New Roman" w:hAnsi="Times New Roman" w:cs="Times New Roman"/>
          <w:bCs/>
        </w:rPr>
        <w:t>R</w:t>
      </w:r>
      <w:r w:rsidRPr="00F046DB">
        <w:rPr>
          <w:rFonts w:ascii="Times New Roman" w:hAnsi="Times New Roman" w:cs="Times New Roman"/>
          <w:bCs/>
        </w:rPr>
        <w:t xml:space="preserve">espondents were also asked to project one year ahead CPI headline inflation through an additional question using a probability distribution. </w:t>
      </w:r>
      <w:r>
        <w:rPr>
          <w:rFonts w:ascii="Times New Roman" w:hAnsi="Times New Roman" w:cs="Times New Roman"/>
          <w:bCs/>
        </w:rPr>
        <w:t>This question is repeated every alternate month, coinciding with the month of RBI’s bi-monthly monetary policy announcement.</w:t>
      </w:r>
    </w:p>
    <w:p w14:paraId="2CF5AAB8" w14:textId="77777777" w:rsidR="00161778" w:rsidRPr="00F046DB" w:rsidRDefault="00161778" w:rsidP="00161778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val="en-GB" w:eastAsia="en-GB"/>
        </w:rPr>
      </w:pPr>
    </w:p>
    <w:p w14:paraId="67A30D57" w14:textId="2BB628CB" w:rsidR="00161778" w:rsidRPr="00025620" w:rsidRDefault="00161778" w:rsidP="0016177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val="en-GB" w:eastAsia="en-GB"/>
        </w:rPr>
      </w:pPr>
      <w:r>
        <w:rPr>
          <w:rFonts w:ascii="Times New Roman" w:hAnsi="Times New Roman" w:cs="Times New Roman"/>
          <w:bCs/>
        </w:rPr>
        <w:t>The</w:t>
      </w:r>
      <w:r w:rsidRPr="0086778C">
        <w:rPr>
          <w:rFonts w:ascii="Times New Roman" w:hAnsi="Times New Roman" w:cs="Times New Roman"/>
          <w:bCs/>
        </w:rPr>
        <w:t xml:space="preserve"> businesses in </w:t>
      </w:r>
      <w:r w:rsidR="00D1457D">
        <w:rPr>
          <w:rFonts w:ascii="Times New Roman" w:hAnsi="Times New Roman" w:cs="Times New Roman"/>
          <w:bCs/>
        </w:rPr>
        <w:t>February 2022</w:t>
      </w:r>
      <w:r>
        <w:rPr>
          <w:rFonts w:ascii="Times New Roman" w:hAnsi="Times New Roman" w:cs="Times New Roman"/>
          <w:bCs/>
        </w:rPr>
        <w:t xml:space="preserve"> </w:t>
      </w:r>
      <w:r w:rsidRPr="0086778C">
        <w:rPr>
          <w:rFonts w:ascii="Times New Roman" w:hAnsi="Times New Roman" w:cs="Times New Roman"/>
          <w:bCs/>
        </w:rPr>
        <w:t xml:space="preserve">expect one year ahead CPI </w:t>
      </w:r>
      <w:r>
        <w:rPr>
          <w:rFonts w:ascii="Times New Roman" w:hAnsi="Times New Roman" w:cs="Times New Roman"/>
          <w:bCs/>
        </w:rPr>
        <w:t xml:space="preserve">headline </w:t>
      </w:r>
      <w:r w:rsidRPr="0086778C">
        <w:rPr>
          <w:rFonts w:ascii="Times New Roman" w:hAnsi="Times New Roman" w:cs="Times New Roman"/>
          <w:bCs/>
        </w:rPr>
        <w:t>inflation to be</w:t>
      </w:r>
      <w:r w:rsidR="00D1457D">
        <w:rPr>
          <w:rFonts w:ascii="Times New Roman" w:hAnsi="Times New Roman" w:cs="Times New Roman"/>
          <w:bCs/>
        </w:rPr>
        <w:t xml:space="preserve"> 5.74%, sharply up from </w:t>
      </w:r>
      <w:r>
        <w:rPr>
          <w:rFonts w:ascii="Times New Roman" w:hAnsi="Times New Roman" w:cs="Times New Roman"/>
          <w:bCs/>
        </w:rPr>
        <w:t>4.96%</w:t>
      </w:r>
      <w:r w:rsidR="00D1457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reported in </w:t>
      </w:r>
      <w:r w:rsidR="00D1457D">
        <w:rPr>
          <w:rFonts w:ascii="Times New Roman" w:hAnsi="Times New Roman" w:cs="Times New Roman"/>
          <w:bCs/>
        </w:rPr>
        <w:t>December</w:t>
      </w:r>
      <w:r>
        <w:rPr>
          <w:rFonts w:ascii="Times New Roman" w:hAnsi="Times New Roman" w:cs="Times New Roman"/>
          <w:bCs/>
        </w:rPr>
        <w:t xml:space="preserve"> 2021</w:t>
      </w:r>
      <w:r w:rsidRPr="0086778C">
        <w:rPr>
          <w:rFonts w:ascii="Times New Roman" w:hAnsi="Times New Roman" w:cs="Times New Roman"/>
          <w:bCs/>
        </w:rPr>
        <w:t>, with a</w:t>
      </w:r>
      <w:r>
        <w:rPr>
          <w:rFonts w:ascii="Times New Roman" w:hAnsi="Times New Roman" w:cs="Times New Roman"/>
          <w:bCs/>
        </w:rPr>
        <w:t xml:space="preserve"> relatively</w:t>
      </w:r>
      <w:r w:rsidRPr="0086778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low</w:t>
      </w:r>
      <w:r w:rsidRPr="0086778C">
        <w:rPr>
          <w:rFonts w:ascii="Times New Roman" w:hAnsi="Times New Roman" w:cs="Times New Roman"/>
          <w:bCs/>
        </w:rPr>
        <w:t xml:space="preserve"> standard deviation of </w:t>
      </w:r>
      <w:r>
        <w:rPr>
          <w:rFonts w:ascii="Times New Roman" w:hAnsi="Times New Roman" w:cs="Times New Roman"/>
          <w:bCs/>
        </w:rPr>
        <w:t>0.9</w:t>
      </w:r>
      <w:r w:rsidR="00D1457D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%</w:t>
      </w:r>
      <w:r w:rsidRPr="0086778C">
        <w:rPr>
          <w:rFonts w:ascii="Times New Roman" w:hAnsi="Times New Roman" w:cs="Times New Roman"/>
          <w:bCs/>
        </w:rPr>
        <w:t xml:space="preserve"> (Chart 2).</w:t>
      </w:r>
      <w:r>
        <w:rPr>
          <w:rFonts w:ascii="Times New Roman" w:hAnsi="Times New Roman" w:cs="Times New Roman"/>
          <w:bCs/>
        </w:rPr>
        <w:t xml:space="preserve"> </w:t>
      </w:r>
    </w:p>
    <w:p w14:paraId="7543B1CC" w14:textId="77777777" w:rsidR="00161778" w:rsidRDefault="00161778" w:rsidP="00161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08CE3A" w14:textId="2D133CB8" w:rsidR="00161778" w:rsidRDefault="00161778" w:rsidP="00161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30C">
        <w:rPr>
          <w:rFonts w:ascii="Times New Roman" w:hAnsi="Times New Roman" w:cs="Times New Roman"/>
          <w:b/>
        </w:rPr>
        <w:t>Chart</w:t>
      </w:r>
      <w:r>
        <w:rPr>
          <w:rFonts w:ascii="Times New Roman" w:hAnsi="Times New Roman" w:cs="Times New Roman"/>
          <w:b/>
        </w:rPr>
        <w:t xml:space="preserve"> 2</w:t>
      </w:r>
      <w:r w:rsidRPr="00ED330C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Expected CPI headline inflation (%) - one year ahead</w:t>
      </w:r>
    </w:p>
    <w:p w14:paraId="560D3B74" w14:textId="360E9332" w:rsidR="00AD44CB" w:rsidRDefault="00AD44CB" w:rsidP="00161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75262B" w14:textId="2B2B6157" w:rsidR="00AD44CB" w:rsidRDefault="00FC0A31" w:rsidP="00161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en-IN"/>
        </w:rPr>
        <w:drawing>
          <wp:inline distT="0" distB="0" distL="0" distR="0" wp14:anchorId="3A421E6C" wp14:editId="676F2190">
            <wp:extent cx="5076825" cy="265747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77E9FD3" w14:textId="77777777" w:rsidR="00AD44CB" w:rsidRDefault="00AD44CB" w:rsidP="00161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0B5D44" w14:textId="4808B4FB" w:rsidR="00161778" w:rsidRDefault="00161778" w:rsidP="00FC0A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2E564A0" w14:textId="49BFB18D" w:rsidR="00AA63A1" w:rsidRDefault="00961726" w:rsidP="00C32E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B. </w:t>
      </w:r>
      <w:r w:rsidR="00AA63A1" w:rsidRPr="004C6586">
        <w:rPr>
          <w:rFonts w:ascii="Times New Roman" w:hAnsi="Times New Roman" w:cs="Times New Roman"/>
          <w:b/>
          <w:bCs/>
        </w:rPr>
        <w:t>Costs</w:t>
      </w:r>
    </w:p>
    <w:p w14:paraId="522D69EF" w14:textId="77777777" w:rsidR="00292C4F" w:rsidRDefault="00292C4F" w:rsidP="00C32E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3CE5D1" w14:textId="01504C2D" w:rsidR="00374FE6" w:rsidRDefault="00374FE6" w:rsidP="00374FE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320D86">
        <w:rPr>
          <w:rFonts w:ascii="Times New Roman" w:hAnsi="Times New Roman" w:cs="Times New Roman"/>
        </w:rPr>
        <w:t xml:space="preserve">cost perceptions data </w:t>
      </w:r>
      <w:r>
        <w:rPr>
          <w:rFonts w:ascii="Times New Roman" w:hAnsi="Times New Roman" w:cs="Times New Roman"/>
        </w:rPr>
        <w:t xml:space="preserve">indicates further hardening of cost pressures.  </w:t>
      </w:r>
      <w:r w:rsidR="00BF0AB1">
        <w:rPr>
          <w:rFonts w:ascii="Times New Roman" w:hAnsi="Times New Roman" w:cs="Times New Roman"/>
        </w:rPr>
        <w:t>Around 70%</w:t>
      </w:r>
      <w:r>
        <w:rPr>
          <w:rFonts w:ascii="Times New Roman" w:hAnsi="Times New Roman" w:cs="Times New Roman"/>
        </w:rPr>
        <w:t xml:space="preserve"> of the firms in this round of the survey perceive </w:t>
      </w:r>
      <w:r w:rsidRPr="00F901EF">
        <w:rPr>
          <w:rFonts w:ascii="Times New Roman" w:hAnsi="Times New Roman" w:cs="Times New Roman"/>
        </w:rPr>
        <w:t>significant (over 6%) cost increase</w:t>
      </w:r>
      <w:r>
        <w:rPr>
          <w:rFonts w:ascii="Times New Roman" w:hAnsi="Times New Roman" w:cs="Times New Roman"/>
        </w:rPr>
        <w:t xml:space="preserve">, as against </w:t>
      </w:r>
      <w:r w:rsidR="00BF0AB1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 xml:space="preserve">% reported in the earlier round </w:t>
      </w:r>
      <w:r w:rsidRPr="003F4637">
        <w:rPr>
          <w:rFonts w:ascii="Times New Roman" w:hAnsi="Times New Roman" w:cs="Times New Roman"/>
        </w:rPr>
        <w:t xml:space="preserve">(Chart </w:t>
      </w:r>
      <w:r w:rsidR="004672F2">
        <w:rPr>
          <w:rFonts w:ascii="Times New Roman" w:hAnsi="Times New Roman" w:cs="Times New Roman"/>
        </w:rPr>
        <w:t>3</w:t>
      </w:r>
      <w:r w:rsidRPr="003F46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4C494C0E" w14:textId="77777777" w:rsidR="00374FE6" w:rsidRDefault="00374FE6" w:rsidP="00374FE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32F799B7" w14:textId="10288CD9" w:rsidR="00374FE6" w:rsidRDefault="00374FE6" w:rsidP="00374FE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3</w:t>
      </w:r>
      <w:r w:rsidR="00BF0AB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% of the firms perceive that costs have increased very significantly (over 10%), as compared to </w:t>
      </w:r>
      <w:r w:rsidR="00BF0AB1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% reported in the earlier round. For the first time, </w:t>
      </w:r>
      <w:r w:rsidR="00BF0AB1">
        <w:rPr>
          <w:rFonts w:ascii="Times New Roman" w:hAnsi="Times New Roman" w:cs="Times New Roman"/>
        </w:rPr>
        <w:t>around</w:t>
      </w:r>
      <w:r>
        <w:rPr>
          <w:rFonts w:ascii="Times New Roman" w:hAnsi="Times New Roman" w:cs="Times New Roman"/>
        </w:rPr>
        <w:t xml:space="preserve"> </w:t>
      </w:r>
      <w:r w:rsidR="00BF0AB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</w:t>
      </w:r>
      <w:r w:rsidR="00BF0AB1">
        <w:rPr>
          <w:rFonts w:ascii="Times New Roman" w:hAnsi="Times New Roman" w:cs="Times New Roman"/>
        </w:rPr>
        <w:t>5</w:t>
      </w:r>
      <w:r w:rsidR="00BF0AB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the firms reported more than 10% cost increase. </w:t>
      </w:r>
    </w:p>
    <w:p w14:paraId="1F963CB8" w14:textId="77777777" w:rsidR="00374FE6" w:rsidRDefault="00374FE6" w:rsidP="00374FE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4A09BD89" w14:textId="0EDF131F" w:rsidR="00AA63A1" w:rsidRDefault="00AA63A1" w:rsidP="00C32EC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D09C4">
        <w:rPr>
          <w:rFonts w:ascii="Times New Roman" w:hAnsi="Times New Roman" w:cs="Times New Roman"/>
          <w:b/>
          <w:bCs/>
          <w:lang w:val="en-US"/>
        </w:rPr>
        <w:t xml:space="preserve">Chart </w:t>
      </w:r>
      <w:r w:rsidR="004672F2">
        <w:rPr>
          <w:rFonts w:ascii="Times New Roman" w:hAnsi="Times New Roman" w:cs="Times New Roman"/>
          <w:b/>
          <w:bCs/>
          <w:lang w:val="en-US"/>
        </w:rPr>
        <w:t>3</w:t>
      </w:r>
      <w:r w:rsidRPr="001D09C4">
        <w:rPr>
          <w:rFonts w:ascii="Times New Roman" w:hAnsi="Times New Roman" w:cs="Times New Roman"/>
          <w:b/>
          <w:bCs/>
          <w:lang w:val="en-US"/>
        </w:rPr>
        <w:t>: How do current costs per unit compare with this time last year?</w:t>
      </w:r>
      <w:r w:rsidR="005D60C2">
        <w:rPr>
          <w:rFonts w:ascii="Times New Roman" w:hAnsi="Times New Roman" w:cs="Times New Roman"/>
          <w:b/>
          <w:bCs/>
          <w:lang w:val="en-US"/>
        </w:rPr>
        <w:t xml:space="preserve"> – % responses</w:t>
      </w:r>
    </w:p>
    <w:p w14:paraId="3C4D1708" w14:textId="4724005C" w:rsidR="008A6016" w:rsidRDefault="008A6016" w:rsidP="00C32EC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B2E98EC" w14:textId="36F055ED" w:rsidR="00382C8D" w:rsidRDefault="00382C8D" w:rsidP="00C32EC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noProof/>
          <w:lang w:eastAsia="en-IN"/>
        </w:rPr>
        <w:drawing>
          <wp:inline distT="0" distB="0" distL="0" distR="0" wp14:anchorId="3D1D332C" wp14:editId="6BB69654">
            <wp:extent cx="5133975" cy="2152650"/>
            <wp:effectExtent l="0" t="0" r="952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FF43733" w14:textId="429C3D03" w:rsidR="00382C8D" w:rsidRDefault="00382C8D" w:rsidP="00C32EC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0F89C7D" w14:textId="7942B9D2" w:rsidR="00C22C21" w:rsidRDefault="00C22C21" w:rsidP="008339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 Sales Levels</w:t>
      </w:r>
    </w:p>
    <w:p w14:paraId="2C9812A5" w14:textId="77777777" w:rsidR="00C22C21" w:rsidRPr="002E5927" w:rsidRDefault="00C22C21" w:rsidP="008339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DB0ACD" w14:textId="1E3B17F4" w:rsidR="00BC4E7E" w:rsidRPr="00BC4E7E" w:rsidRDefault="00D91A03" w:rsidP="008339C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Firms’ s</w:t>
      </w:r>
      <w:r w:rsidR="00BC4E7E">
        <w:rPr>
          <w:rFonts w:ascii="Times New Roman" w:hAnsi="Times New Roman" w:cs="Times New Roman"/>
        </w:rPr>
        <w:t xml:space="preserve">ales expectations </w:t>
      </w:r>
      <w:r>
        <w:rPr>
          <w:rFonts w:ascii="Times New Roman" w:hAnsi="Times New Roman" w:cs="Times New Roman"/>
        </w:rPr>
        <w:t xml:space="preserve">in February 2022 remained </w:t>
      </w:r>
      <w:r w:rsidR="0047750A">
        <w:rPr>
          <w:rFonts w:ascii="Times New Roman" w:hAnsi="Times New Roman" w:cs="Times New Roman"/>
        </w:rPr>
        <w:t>subdued</w:t>
      </w:r>
      <w:r w:rsidR="00BC4E7E">
        <w:rPr>
          <w:rFonts w:ascii="Times New Roman" w:hAnsi="Times New Roman" w:cs="Times New Roman"/>
        </w:rPr>
        <w:t xml:space="preserve">. Percentage of firms reporting ‘much less than normal’ sales </w:t>
      </w:r>
      <w:r>
        <w:rPr>
          <w:rFonts w:ascii="Times New Roman" w:hAnsi="Times New Roman" w:cs="Times New Roman"/>
        </w:rPr>
        <w:t xml:space="preserve">stayed around </w:t>
      </w:r>
      <w:r w:rsidR="00BC4E7E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-37</w:t>
      </w:r>
      <w:r w:rsidR="00BC4E7E">
        <w:rPr>
          <w:rFonts w:ascii="Times New Roman" w:hAnsi="Times New Roman" w:cs="Times New Roman"/>
        </w:rPr>
        <w:t>% f</w:t>
      </w:r>
      <w:r w:rsidR="00B225F2">
        <w:rPr>
          <w:rFonts w:ascii="Times New Roman" w:hAnsi="Times New Roman" w:cs="Times New Roman"/>
        </w:rPr>
        <w:t>or the last t</w:t>
      </w:r>
      <w:r>
        <w:rPr>
          <w:rFonts w:ascii="Times New Roman" w:hAnsi="Times New Roman" w:cs="Times New Roman"/>
        </w:rPr>
        <w:t>hree</w:t>
      </w:r>
      <w:r w:rsidR="00B225F2">
        <w:rPr>
          <w:rFonts w:ascii="Times New Roman" w:hAnsi="Times New Roman" w:cs="Times New Roman"/>
        </w:rPr>
        <w:t xml:space="preserve"> rounds</w:t>
      </w:r>
      <w:r w:rsidR="002514D0">
        <w:rPr>
          <w:rFonts w:ascii="Times New Roman" w:hAnsi="Times New Roman" w:cs="Times New Roman"/>
        </w:rPr>
        <w:t>.</w:t>
      </w:r>
    </w:p>
    <w:p w14:paraId="79BEABF7" w14:textId="77777777" w:rsidR="00BC4E7E" w:rsidRPr="00BC4E7E" w:rsidRDefault="00BC4E7E" w:rsidP="002514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E7E597" w14:textId="54396623" w:rsidR="00E018F5" w:rsidRPr="00E018F5" w:rsidRDefault="00BC4E7E" w:rsidP="008339C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Over </w:t>
      </w:r>
      <w:r w:rsidR="00D91A03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>%</w:t>
      </w:r>
      <w:r w:rsidR="0017297C" w:rsidRPr="00255A73">
        <w:rPr>
          <w:rFonts w:ascii="Times New Roman" w:hAnsi="Times New Roman" w:cs="Times New Roman"/>
        </w:rPr>
        <w:t xml:space="preserve"> </w:t>
      </w:r>
      <w:r w:rsidR="007914B6" w:rsidRPr="00255A73">
        <w:rPr>
          <w:rFonts w:ascii="Times New Roman" w:hAnsi="Times New Roman" w:cs="Times New Roman"/>
        </w:rPr>
        <w:t xml:space="preserve">of the firms </w:t>
      </w:r>
      <w:r w:rsidR="00B225F2">
        <w:rPr>
          <w:rFonts w:ascii="Times New Roman" w:hAnsi="Times New Roman" w:cs="Times New Roman"/>
        </w:rPr>
        <w:t xml:space="preserve">in </w:t>
      </w:r>
      <w:r w:rsidR="00D91A03">
        <w:rPr>
          <w:rFonts w:ascii="Times New Roman" w:hAnsi="Times New Roman" w:cs="Times New Roman"/>
        </w:rPr>
        <w:t>February</w:t>
      </w:r>
      <w:r w:rsidR="00B225F2">
        <w:rPr>
          <w:rFonts w:ascii="Times New Roman" w:hAnsi="Times New Roman" w:cs="Times New Roman"/>
        </w:rPr>
        <w:t xml:space="preserve"> 2022 </w:t>
      </w:r>
      <w:r w:rsidR="00E95110">
        <w:rPr>
          <w:rFonts w:ascii="Times New Roman" w:hAnsi="Times New Roman" w:cs="Times New Roman"/>
        </w:rPr>
        <w:t>report</w:t>
      </w:r>
      <w:r>
        <w:rPr>
          <w:rFonts w:ascii="Times New Roman" w:hAnsi="Times New Roman" w:cs="Times New Roman"/>
        </w:rPr>
        <w:t xml:space="preserve"> that</w:t>
      </w:r>
      <w:r w:rsidR="00C22C21" w:rsidRPr="00255A73">
        <w:rPr>
          <w:rFonts w:ascii="Times New Roman" w:hAnsi="Times New Roman" w:cs="Times New Roman"/>
        </w:rPr>
        <w:t xml:space="preserve"> sales are </w:t>
      </w:r>
      <w:r w:rsidR="007F7EB5" w:rsidRPr="00255A73">
        <w:rPr>
          <w:rFonts w:ascii="Times New Roman" w:hAnsi="Times New Roman" w:cs="Times New Roman"/>
        </w:rPr>
        <w:t>‘</w:t>
      </w:r>
      <w:r w:rsidR="00C22C21" w:rsidRPr="00255A73">
        <w:rPr>
          <w:rFonts w:ascii="Times New Roman" w:hAnsi="Times New Roman" w:cs="Times New Roman"/>
        </w:rPr>
        <w:t xml:space="preserve">much </w:t>
      </w:r>
      <w:r w:rsidR="00A4729B">
        <w:rPr>
          <w:rFonts w:ascii="Times New Roman" w:hAnsi="Times New Roman" w:cs="Times New Roman"/>
        </w:rPr>
        <w:t xml:space="preserve">or somewhat </w:t>
      </w:r>
      <w:r w:rsidR="00C22C21" w:rsidRPr="00255A73">
        <w:rPr>
          <w:rFonts w:ascii="Times New Roman" w:hAnsi="Times New Roman" w:cs="Times New Roman"/>
        </w:rPr>
        <w:t>less than normal</w:t>
      </w:r>
      <w:r w:rsidR="007F7EB5" w:rsidRPr="00255A73">
        <w:rPr>
          <w:rFonts w:ascii="Times New Roman" w:hAnsi="Times New Roman" w:cs="Times New Roman"/>
        </w:rPr>
        <w:t>’</w:t>
      </w:r>
      <w:r w:rsidR="00AF798A" w:rsidRPr="00255A73">
        <w:rPr>
          <w:rFonts w:ascii="Times New Roman" w:hAnsi="Times New Roman" w:cs="Times New Roman"/>
        </w:rPr>
        <w:t xml:space="preserve"> </w:t>
      </w:r>
      <w:r w:rsidR="00B12DEB" w:rsidRPr="00255A73">
        <w:rPr>
          <w:rFonts w:ascii="Times New Roman" w:hAnsi="Times New Roman" w:cs="Times New Roman"/>
        </w:rPr>
        <w:t xml:space="preserve">(Chart </w:t>
      </w:r>
      <w:r w:rsidR="004672F2">
        <w:rPr>
          <w:rFonts w:ascii="Times New Roman" w:hAnsi="Times New Roman" w:cs="Times New Roman"/>
        </w:rPr>
        <w:t>4</w:t>
      </w:r>
      <w:r w:rsidR="00B12DEB" w:rsidRPr="00255A73">
        <w:rPr>
          <w:rFonts w:ascii="Times New Roman" w:hAnsi="Times New Roman" w:cs="Times New Roman"/>
        </w:rPr>
        <w:t>)</w:t>
      </w:r>
      <w:r w:rsidR="0017297C" w:rsidRPr="003C0A84">
        <w:rPr>
          <w:rStyle w:val="FootnoteReference"/>
          <w:rFonts w:ascii="Times New Roman" w:hAnsi="Times New Roman" w:cs="Times New Roman"/>
        </w:rPr>
        <w:footnoteReference w:id="1"/>
      </w:r>
      <w:r w:rsidR="009A50C4" w:rsidRPr="00255A73">
        <w:rPr>
          <w:rFonts w:ascii="Times New Roman" w:hAnsi="Times New Roman" w:cs="Times New Roman"/>
        </w:rPr>
        <w:t>.</w:t>
      </w:r>
      <w:r w:rsidR="005A4E23">
        <w:rPr>
          <w:rFonts w:ascii="Times New Roman" w:hAnsi="Times New Roman" w:cs="Times New Roman"/>
        </w:rPr>
        <w:t xml:space="preserve"> </w:t>
      </w:r>
    </w:p>
    <w:p w14:paraId="2744CD86" w14:textId="312B4445" w:rsidR="00C22C21" w:rsidRDefault="00C22C21" w:rsidP="008339C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0C4">
        <w:rPr>
          <w:rFonts w:ascii="Times New Roman" w:hAnsi="Times New Roman" w:cs="Times New Roman"/>
          <w:b/>
          <w:bCs/>
        </w:rPr>
        <w:t xml:space="preserve">Chart </w:t>
      </w:r>
      <w:r w:rsidR="004672F2">
        <w:rPr>
          <w:rFonts w:ascii="Times New Roman" w:hAnsi="Times New Roman" w:cs="Times New Roman"/>
          <w:b/>
          <w:bCs/>
        </w:rPr>
        <w:t>4</w:t>
      </w:r>
      <w:r w:rsidR="00B73E65">
        <w:rPr>
          <w:rFonts w:ascii="Times New Roman" w:hAnsi="Times New Roman" w:cs="Times New Roman"/>
          <w:b/>
          <w:bCs/>
        </w:rPr>
        <w:t>:</w:t>
      </w:r>
      <w:r w:rsidRPr="009A50C4">
        <w:rPr>
          <w:rFonts w:ascii="Times New Roman" w:hAnsi="Times New Roman" w:cs="Times New Roman"/>
          <w:b/>
          <w:bCs/>
        </w:rPr>
        <w:t xml:space="preserve"> Sales Levels - % response</w:t>
      </w:r>
    </w:p>
    <w:p w14:paraId="63E6D492" w14:textId="40D3462F" w:rsidR="00382C8D" w:rsidRDefault="00382C8D" w:rsidP="008339C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38413C" w14:textId="318F8BDE" w:rsidR="00382C8D" w:rsidRDefault="00382C8D" w:rsidP="008339C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val="en-IN" w:eastAsia="en-IN"/>
        </w:rPr>
        <w:drawing>
          <wp:inline distT="0" distB="0" distL="0" distR="0" wp14:anchorId="6AF5A38E" wp14:editId="56CBFE84">
            <wp:extent cx="5172075" cy="2162175"/>
            <wp:effectExtent l="0" t="0" r="9525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227A908" w14:textId="061D8F5A" w:rsidR="00382C8D" w:rsidRDefault="00382C8D" w:rsidP="008339C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F63185" w14:textId="08F2F87B" w:rsidR="00C22C21" w:rsidRDefault="00C22C21" w:rsidP="008339C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D. </w:t>
      </w:r>
      <w:r w:rsidRPr="004C6586">
        <w:rPr>
          <w:rFonts w:ascii="Times New Roman" w:hAnsi="Times New Roman" w:cs="Times New Roman"/>
          <w:b/>
          <w:bCs/>
        </w:rPr>
        <w:t>Profit Margins</w:t>
      </w:r>
    </w:p>
    <w:p w14:paraId="42D688DE" w14:textId="77777777" w:rsidR="00C22C21" w:rsidRPr="004C6586" w:rsidRDefault="00C22C21" w:rsidP="008339C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6DEC9C6" w14:textId="435A2303" w:rsidR="0086020A" w:rsidRPr="000144A7" w:rsidRDefault="00B225F2" w:rsidP="008339C5">
      <w:pPr>
        <w:pStyle w:val="ListParagraph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bidi="hi-IN"/>
        </w:rPr>
      </w:pPr>
      <w:r>
        <w:rPr>
          <w:rFonts w:ascii="Times New Roman" w:hAnsi="Times New Roman" w:cs="Times New Roman"/>
        </w:rPr>
        <w:t>Over 5</w:t>
      </w:r>
      <w:r w:rsidR="000144A7">
        <w:rPr>
          <w:rFonts w:ascii="Times New Roman" w:hAnsi="Times New Roman" w:cs="Times New Roman"/>
        </w:rPr>
        <w:t>2</w:t>
      </w:r>
      <w:r w:rsidR="00566624">
        <w:rPr>
          <w:rFonts w:ascii="Times New Roman" w:hAnsi="Times New Roman" w:cs="Times New Roman"/>
        </w:rPr>
        <w:t>%</w:t>
      </w:r>
      <w:r w:rsidR="00A35BD1">
        <w:rPr>
          <w:rFonts w:ascii="Times New Roman" w:hAnsi="Times New Roman" w:cs="Times New Roman"/>
        </w:rPr>
        <w:t xml:space="preserve"> of the </w:t>
      </w:r>
      <w:r w:rsidR="00C22C21" w:rsidRPr="00F93FD9">
        <w:rPr>
          <w:rFonts w:ascii="Times New Roman" w:hAnsi="Times New Roman" w:cs="Times New Roman"/>
        </w:rPr>
        <w:t>firms in the sample report ‘</w:t>
      </w:r>
      <w:r>
        <w:rPr>
          <w:rFonts w:ascii="Times New Roman" w:hAnsi="Times New Roman" w:cs="Times New Roman"/>
        </w:rPr>
        <w:t>much</w:t>
      </w:r>
      <w:r w:rsidR="00C22C21" w:rsidRPr="00F93FD9">
        <w:rPr>
          <w:rFonts w:ascii="Times New Roman" w:hAnsi="Times New Roman" w:cs="Times New Roman"/>
        </w:rPr>
        <w:t xml:space="preserve"> less than normal’ profit </w:t>
      </w:r>
      <w:r w:rsidR="00A026DA">
        <w:rPr>
          <w:rFonts w:ascii="Times New Roman" w:hAnsi="Times New Roman" w:cs="Times New Roman"/>
        </w:rPr>
        <w:t>–</w:t>
      </w:r>
      <w:r w:rsidR="00FA17B8">
        <w:rPr>
          <w:rFonts w:ascii="Times New Roman" w:hAnsi="Times New Roman" w:cs="Times New Roman"/>
        </w:rPr>
        <w:t xml:space="preserve"> </w:t>
      </w:r>
      <w:r w:rsidR="000144A7">
        <w:rPr>
          <w:rFonts w:ascii="Times New Roman" w:hAnsi="Times New Roman" w:cs="Times New Roman"/>
        </w:rPr>
        <w:t>marginally down 5</w:t>
      </w:r>
      <w:r w:rsidR="008618F2">
        <w:rPr>
          <w:rFonts w:ascii="Times New Roman" w:hAnsi="Times New Roman" w:cs="Times New Roman"/>
        </w:rPr>
        <w:t>4</w:t>
      </w:r>
      <w:r w:rsidR="00F93FD9" w:rsidRPr="00F93FD9">
        <w:rPr>
          <w:rFonts w:ascii="Times New Roman" w:hAnsi="Times New Roman" w:cs="Times New Roman"/>
        </w:rPr>
        <w:t xml:space="preserve">% </w:t>
      </w:r>
      <w:r w:rsidR="00FA17B8">
        <w:rPr>
          <w:rFonts w:ascii="Times New Roman" w:hAnsi="Times New Roman" w:cs="Times New Roman"/>
        </w:rPr>
        <w:t xml:space="preserve">reported </w:t>
      </w:r>
      <w:r w:rsidR="00C22C21" w:rsidRPr="00F93FD9">
        <w:rPr>
          <w:rFonts w:ascii="Times New Roman" w:hAnsi="Times New Roman" w:cs="Times New Roman"/>
        </w:rPr>
        <w:t xml:space="preserve">in </w:t>
      </w:r>
      <w:r w:rsidR="000144A7">
        <w:rPr>
          <w:rFonts w:ascii="Times New Roman" w:hAnsi="Times New Roman" w:cs="Times New Roman"/>
        </w:rPr>
        <w:t>January</w:t>
      </w:r>
      <w:r w:rsidR="00D11372" w:rsidRPr="00F93FD9">
        <w:rPr>
          <w:rFonts w:ascii="Times New Roman" w:hAnsi="Times New Roman" w:cs="Times New Roman"/>
        </w:rPr>
        <w:t xml:space="preserve"> </w:t>
      </w:r>
      <w:r w:rsidR="00C22C21" w:rsidRPr="00F93FD9">
        <w:rPr>
          <w:rFonts w:ascii="Times New Roman" w:hAnsi="Times New Roman" w:cs="Times New Roman"/>
        </w:rPr>
        <w:t>202</w:t>
      </w:r>
      <w:r w:rsidR="00B26D2A">
        <w:rPr>
          <w:rFonts w:ascii="Times New Roman" w:hAnsi="Times New Roman" w:cs="Times New Roman"/>
        </w:rPr>
        <w:t>2</w:t>
      </w:r>
      <w:r w:rsidR="005B0760">
        <w:rPr>
          <w:rFonts w:ascii="Times New Roman" w:hAnsi="Times New Roman" w:cs="Times New Roman"/>
        </w:rPr>
        <w:t xml:space="preserve"> (Chart </w:t>
      </w:r>
      <w:r w:rsidR="004672F2">
        <w:rPr>
          <w:rFonts w:ascii="Times New Roman" w:hAnsi="Times New Roman" w:cs="Times New Roman"/>
        </w:rPr>
        <w:t>5</w:t>
      </w:r>
      <w:r w:rsidR="00CD6C1B">
        <w:rPr>
          <w:rFonts w:ascii="Times New Roman" w:hAnsi="Times New Roman" w:cs="Times New Roman"/>
        </w:rPr>
        <w:t>)</w:t>
      </w:r>
      <w:r w:rsidR="0000342E" w:rsidRPr="00F93FD9">
        <w:rPr>
          <w:rFonts w:ascii="Times New Roman" w:hAnsi="Times New Roman" w:cs="Times New Roman"/>
        </w:rPr>
        <w:t>.</w:t>
      </w:r>
      <w:r w:rsidR="00566624">
        <w:rPr>
          <w:rFonts w:ascii="Times New Roman" w:hAnsi="Times New Roman" w:cs="Times New Roman"/>
        </w:rPr>
        <w:t xml:space="preserve"> </w:t>
      </w:r>
    </w:p>
    <w:p w14:paraId="21C8E412" w14:textId="77777777" w:rsidR="000144A7" w:rsidRPr="000144A7" w:rsidRDefault="000144A7" w:rsidP="000144A7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bidi="hi-IN"/>
        </w:rPr>
      </w:pPr>
    </w:p>
    <w:p w14:paraId="71323A33" w14:textId="77777777" w:rsidR="000144A7" w:rsidRPr="00B225F2" w:rsidRDefault="000144A7" w:rsidP="000144A7">
      <w:pPr>
        <w:pStyle w:val="ListParagraph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bidi="hi-IN"/>
        </w:rPr>
      </w:pPr>
      <w:r>
        <w:rPr>
          <w:rFonts w:ascii="Times New Roman" w:hAnsi="Times New Roman" w:cs="Times New Roman"/>
        </w:rPr>
        <w:t xml:space="preserve">High cost increase along with muted sales has severely affected the profit margin expectations of firms. </w:t>
      </w:r>
    </w:p>
    <w:p w14:paraId="7BFA0420" w14:textId="6E78E35E" w:rsidR="00C22C21" w:rsidRDefault="00C22C21" w:rsidP="008339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en-US" w:bidi="hi-IN"/>
        </w:rPr>
      </w:pPr>
      <w:r w:rsidRPr="001D09C4">
        <w:rPr>
          <w:rFonts w:ascii="Times New Roman" w:hAnsi="Times New Roman" w:cs="Times New Roman"/>
          <w:b/>
          <w:bCs/>
          <w:lang w:val="en-US" w:bidi="hi-IN"/>
        </w:rPr>
        <w:t xml:space="preserve">Chart </w:t>
      </w:r>
      <w:r w:rsidR="004672F2">
        <w:rPr>
          <w:rFonts w:ascii="Times New Roman" w:hAnsi="Times New Roman" w:cs="Times New Roman"/>
          <w:b/>
          <w:bCs/>
          <w:lang w:val="en-US" w:bidi="hi-IN"/>
        </w:rPr>
        <w:t>5</w:t>
      </w:r>
      <w:r w:rsidR="00622063">
        <w:rPr>
          <w:rFonts w:ascii="Times New Roman" w:hAnsi="Times New Roman" w:cs="Times New Roman"/>
          <w:b/>
          <w:bCs/>
          <w:lang w:val="en-US" w:bidi="hi-IN"/>
        </w:rPr>
        <w:t>:</w:t>
      </w:r>
      <w:r w:rsidRPr="001D09C4">
        <w:rPr>
          <w:rFonts w:ascii="Times New Roman" w:hAnsi="Times New Roman" w:cs="Times New Roman"/>
          <w:b/>
          <w:bCs/>
          <w:lang w:val="en-US" w:bidi="hi-IN"/>
        </w:rPr>
        <w:t xml:space="preserve"> Profit Margins - % response</w:t>
      </w:r>
    </w:p>
    <w:p w14:paraId="2EB78D21" w14:textId="77777777" w:rsidR="000144A7" w:rsidRDefault="000144A7" w:rsidP="008339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en-US" w:bidi="hi-IN"/>
        </w:rPr>
      </w:pPr>
    </w:p>
    <w:p w14:paraId="3E762BFC" w14:textId="1BBFFAEF" w:rsidR="00382C8D" w:rsidRDefault="00382C8D" w:rsidP="008339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en-US" w:bidi="hi-IN"/>
        </w:rPr>
      </w:pPr>
      <w:r>
        <w:rPr>
          <w:noProof/>
          <w:lang w:eastAsia="en-IN"/>
        </w:rPr>
        <w:drawing>
          <wp:inline distT="0" distB="0" distL="0" distR="0" wp14:anchorId="2F0A5C72" wp14:editId="7F0E7C7D">
            <wp:extent cx="5561330" cy="2133600"/>
            <wp:effectExtent l="0" t="0" r="127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5820049" w14:textId="2A34C503" w:rsidR="00382C8D" w:rsidRDefault="00382C8D" w:rsidP="008339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val="en-US" w:bidi="hi-IN"/>
        </w:rPr>
      </w:pPr>
    </w:p>
    <w:p w14:paraId="3C0EC55A" w14:textId="0CE6DC39" w:rsidR="009F5421" w:rsidRDefault="009F5421" w:rsidP="00E34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421">
        <w:rPr>
          <w:rFonts w:ascii="Times New Roman" w:hAnsi="Times New Roman" w:cs="Times New Roman"/>
          <w:b/>
          <w:sz w:val="28"/>
          <w:szCs w:val="28"/>
        </w:rPr>
        <w:lastRenderedPageBreak/>
        <w:t>Business Inflation Expectation Survey</w:t>
      </w:r>
      <w:r>
        <w:rPr>
          <w:rFonts w:ascii="Times New Roman" w:hAnsi="Times New Roman" w:cs="Times New Roman"/>
          <w:b/>
          <w:sz w:val="28"/>
          <w:szCs w:val="28"/>
        </w:rPr>
        <w:t xml:space="preserve"> (BIES) </w:t>
      </w:r>
      <w:r w:rsidR="00410FB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421">
        <w:rPr>
          <w:rFonts w:ascii="Times New Roman" w:hAnsi="Times New Roman" w:cs="Times New Roman"/>
          <w:b/>
          <w:bCs/>
          <w:sz w:val="28"/>
          <w:szCs w:val="28"/>
        </w:rPr>
        <w:t>Questionnaire</w:t>
      </w:r>
    </w:p>
    <w:p w14:paraId="03B3149C" w14:textId="77777777" w:rsidR="00410FBB" w:rsidRPr="009F5421" w:rsidRDefault="00410FBB" w:rsidP="00C32E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810" w:type="dxa"/>
        <w:tblInd w:w="198" w:type="dxa"/>
        <w:tblLook w:val="04A0" w:firstRow="1" w:lastRow="0" w:firstColumn="1" w:lastColumn="0" w:noHBand="0" w:noVBand="1"/>
      </w:tblPr>
      <w:tblGrid>
        <w:gridCol w:w="9810"/>
      </w:tblGrid>
      <w:tr w:rsidR="009F5421" w:rsidRPr="009F5421" w14:paraId="70712FC1" w14:textId="77777777" w:rsidTr="00E0056C">
        <w:tc>
          <w:tcPr>
            <w:tcW w:w="9810" w:type="dxa"/>
          </w:tcPr>
          <w:p w14:paraId="63332A76" w14:textId="77777777" w:rsidR="009F5421" w:rsidRPr="009F5421" w:rsidRDefault="009F5421" w:rsidP="00C32EC0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9F5421">
              <w:rPr>
                <w:b/>
                <w:bCs/>
                <w:sz w:val="22"/>
                <w:szCs w:val="22"/>
              </w:rPr>
              <w:t>A. Current Business Conditions</w:t>
            </w:r>
          </w:p>
          <w:p w14:paraId="3CF0E096" w14:textId="77777777" w:rsidR="009F5421" w:rsidRPr="009F5421" w:rsidRDefault="009F5421" w:rsidP="00C32EC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7FE4ADA9" w14:textId="77777777" w:rsidR="009F5421" w:rsidRPr="009F5421" w:rsidRDefault="009F5421" w:rsidP="00C32E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 xml:space="preserve">Q1. How do your current </w:t>
            </w:r>
            <w:r w:rsidRPr="009F5421">
              <w:rPr>
                <w:rFonts w:ascii="Times New Roman" w:hAnsi="Times New Roman" w:cs="Times New Roman"/>
                <w:b/>
              </w:rPr>
              <w:t>PROFIT MARGINS</w:t>
            </w:r>
            <w:r w:rsidRPr="009F5421">
              <w:rPr>
                <w:rFonts w:ascii="Times New Roman" w:hAnsi="Times New Roman" w:cs="Times New Roman"/>
                <w:vertAlign w:val="superscript"/>
              </w:rPr>
              <w:t>@</w:t>
            </w:r>
            <w:r w:rsidRPr="009F5421">
              <w:rPr>
                <w:rFonts w:ascii="Times New Roman" w:hAnsi="Times New Roman" w:cs="Times New Roman"/>
              </w:rPr>
              <w:t xml:space="preserve"> compare with "normal"</w:t>
            </w:r>
            <w:r w:rsidRPr="009F5421">
              <w:rPr>
                <w:rFonts w:ascii="Times New Roman" w:hAnsi="Times New Roman" w:cs="Times New Roman"/>
                <w:vertAlign w:val="superscript"/>
              </w:rPr>
              <w:t>*</w:t>
            </w:r>
            <w:r w:rsidRPr="009F5421">
              <w:rPr>
                <w:rFonts w:ascii="Times New Roman" w:hAnsi="Times New Roman" w:cs="Times New Roman"/>
              </w:rPr>
              <w:t xml:space="preserve"> times? </w:t>
            </w:r>
          </w:p>
          <w:p w14:paraId="02E71E11" w14:textId="77777777" w:rsidR="009F5421" w:rsidRPr="009F5421" w:rsidRDefault="009F5421" w:rsidP="00C32E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>Much less than normal</w:t>
            </w:r>
          </w:p>
          <w:p w14:paraId="7779146A" w14:textId="77777777" w:rsidR="009F5421" w:rsidRPr="009F5421" w:rsidRDefault="009F5421" w:rsidP="00C32E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>Somewhat less than normal</w:t>
            </w:r>
          </w:p>
          <w:p w14:paraId="7B112715" w14:textId="77777777" w:rsidR="009F5421" w:rsidRPr="009F5421" w:rsidRDefault="009F5421" w:rsidP="00C32E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>About normal</w:t>
            </w:r>
          </w:p>
          <w:p w14:paraId="5C155C38" w14:textId="77777777" w:rsidR="009F5421" w:rsidRPr="009F5421" w:rsidRDefault="009F5421" w:rsidP="00C32E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>Somewhat greater than normal</w:t>
            </w:r>
          </w:p>
          <w:p w14:paraId="3A7FB978" w14:textId="77777777" w:rsidR="009F5421" w:rsidRPr="009F5421" w:rsidRDefault="009F5421" w:rsidP="00C32E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>Much greater than normal</w:t>
            </w:r>
          </w:p>
          <w:p w14:paraId="50FB045D" w14:textId="77777777" w:rsidR="009F5421" w:rsidRPr="009F5421" w:rsidRDefault="009F5421" w:rsidP="00C32EC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48E34079" w14:textId="77777777" w:rsidR="009F5421" w:rsidRPr="009F5421" w:rsidRDefault="009F5421" w:rsidP="00C32EC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5421">
              <w:rPr>
                <w:sz w:val="22"/>
                <w:szCs w:val="22"/>
              </w:rPr>
              <w:t xml:space="preserve">Q2. How do your current sales levels compare with </w:t>
            </w:r>
            <w:r w:rsidRPr="009F5421">
              <w:rPr>
                <w:b/>
                <w:sz w:val="22"/>
                <w:szCs w:val="22"/>
              </w:rPr>
              <w:t>SALES LEVELS</w:t>
            </w:r>
            <w:r w:rsidRPr="009F5421">
              <w:rPr>
                <w:sz w:val="22"/>
                <w:szCs w:val="22"/>
                <w:vertAlign w:val="superscript"/>
              </w:rPr>
              <w:t>@</w:t>
            </w:r>
            <w:r w:rsidRPr="009F5421">
              <w:rPr>
                <w:sz w:val="22"/>
                <w:szCs w:val="22"/>
              </w:rPr>
              <w:t xml:space="preserve"> during what you consider to be "normal"</w:t>
            </w:r>
            <w:r w:rsidRPr="009F5421">
              <w:rPr>
                <w:sz w:val="22"/>
                <w:szCs w:val="22"/>
                <w:vertAlign w:val="superscript"/>
              </w:rPr>
              <w:t>*</w:t>
            </w:r>
            <w:r w:rsidRPr="009F5421">
              <w:rPr>
                <w:sz w:val="22"/>
                <w:szCs w:val="22"/>
              </w:rPr>
              <w:t xml:space="preserve"> times?</w:t>
            </w:r>
          </w:p>
          <w:p w14:paraId="512D2FE2" w14:textId="77777777" w:rsidR="009F5421" w:rsidRPr="009F5421" w:rsidRDefault="009F5421" w:rsidP="00C32EC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5421">
              <w:rPr>
                <w:sz w:val="22"/>
                <w:szCs w:val="22"/>
              </w:rPr>
              <w:t xml:space="preserve">Much less than normal </w:t>
            </w:r>
          </w:p>
          <w:p w14:paraId="4D92C758" w14:textId="77777777" w:rsidR="009F5421" w:rsidRPr="009F5421" w:rsidRDefault="009F5421" w:rsidP="00C32EC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5421">
              <w:rPr>
                <w:sz w:val="22"/>
                <w:szCs w:val="22"/>
              </w:rPr>
              <w:t xml:space="preserve">Somewhat less than normal </w:t>
            </w:r>
          </w:p>
          <w:p w14:paraId="12F6576F" w14:textId="77777777" w:rsidR="009F5421" w:rsidRPr="009F5421" w:rsidRDefault="009F5421" w:rsidP="00C32EC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5421">
              <w:rPr>
                <w:sz w:val="22"/>
                <w:szCs w:val="22"/>
              </w:rPr>
              <w:t xml:space="preserve">About normal </w:t>
            </w:r>
          </w:p>
          <w:p w14:paraId="0F84F659" w14:textId="77777777" w:rsidR="009F5421" w:rsidRPr="009F5421" w:rsidRDefault="009F5421" w:rsidP="00C32EC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5421">
              <w:rPr>
                <w:sz w:val="22"/>
                <w:szCs w:val="22"/>
              </w:rPr>
              <w:t xml:space="preserve">somewhat greater than normal </w:t>
            </w:r>
          </w:p>
          <w:p w14:paraId="7AEB7092" w14:textId="212F55A8" w:rsidR="009F5421" w:rsidRDefault="009F5421" w:rsidP="00C32EC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5421">
              <w:rPr>
                <w:sz w:val="22"/>
                <w:szCs w:val="22"/>
              </w:rPr>
              <w:t xml:space="preserve">Much greater than normal </w:t>
            </w:r>
          </w:p>
          <w:p w14:paraId="2FF5E03B" w14:textId="77777777" w:rsidR="002B2E73" w:rsidRPr="009F5421" w:rsidRDefault="002B2E73" w:rsidP="00C32EC0">
            <w:pPr>
              <w:pStyle w:val="NormalWeb"/>
              <w:spacing w:before="0" w:beforeAutospacing="0" w:after="0" w:afterAutospacing="0"/>
              <w:ind w:left="1800"/>
              <w:jc w:val="both"/>
              <w:rPr>
                <w:sz w:val="22"/>
                <w:szCs w:val="22"/>
              </w:rPr>
            </w:pPr>
          </w:p>
          <w:p w14:paraId="14A7EFFE" w14:textId="32981CC1" w:rsidR="002B2E73" w:rsidRDefault="002B2E73" w:rsidP="00C32E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F5421">
              <w:rPr>
                <w:rFonts w:ascii="Times New Roman" w:hAnsi="Times New Roman" w:cs="Times New Roman"/>
                <w:i/>
                <w:vertAlign w:val="superscript"/>
              </w:rPr>
              <w:t xml:space="preserve">@   </w:t>
            </w:r>
            <w:r w:rsidRPr="009F5421">
              <w:rPr>
                <w:rFonts w:ascii="Times New Roman" w:hAnsi="Times New Roman" w:cs="Times New Roman"/>
                <w:i/>
              </w:rPr>
              <w:t>of the main or most important product in terms of sales.</w:t>
            </w:r>
          </w:p>
          <w:p w14:paraId="08EC46B0" w14:textId="64B07FA4" w:rsidR="009F5421" w:rsidRPr="009F5421" w:rsidRDefault="009F5421" w:rsidP="00C32E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F5421">
              <w:rPr>
                <w:rFonts w:ascii="Times New Roman" w:hAnsi="Times New Roman" w:cs="Times New Roman"/>
                <w:i/>
              </w:rPr>
              <w:t>*"normal" means the average level obtained during the corresponding time point of preceding 3 years</w:t>
            </w:r>
            <w:r w:rsidR="009755AB">
              <w:rPr>
                <w:rFonts w:ascii="Times New Roman" w:hAnsi="Times New Roman" w:cs="Times New Roman"/>
                <w:i/>
              </w:rPr>
              <w:t xml:space="preserve">, excluding </w:t>
            </w:r>
            <w:r w:rsidR="0043523B">
              <w:rPr>
                <w:rFonts w:ascii="Times New Roman" w:hAnsi="Times New Roman" w:cs="Times New Roman"/>
                <w:i/>
              </w:rPr>
              <w:t xml:space="preserve">the </w:t>
            </w:r>
            <w:r w:rsidR="009755AB">
              <w:rPr>
                <w:rFonts w:ascii="Times New Roman" w:hAnsi="Times New Roman" w:cs="Times New Roman"/>
                <w:i/>
              </w:rPr>
              <w:t xml:space="preserve">Covid-19 </w:t>
            </w:r>
            <w:r w:rsidR="00D21DF1">
              <w:rPr>
                <w:rFonts w:ascii="Times New Roman" w:hAnsi="Times New Roman" w:cs="Times New Roman"/>
                <w:i/>
              </w:rPr>
              <w:t>period</w:t>
            </w:r>
            <w:r w:rsidRPr="009F5421">
              <w:rPr>
                <w:rFonts w:ascii="Times New Roman" w:hAnsi="Times New Roman" w:cs="Times New Roman"/>
                <w:i/>
              </w:rPr>
              <w:t>.</w:t>
            </w:r>
          </w:p>
          <w:p w14:paraId="6B60823C" w14:textId="79D72485" w:rsidR="009F5421" w:rsidRPr="009F5421" w:rsidRDefault="009F5421" w:rsidP="00C32E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F5421" w:rsidRPr="009F5421" w14:paraId="774338C0" w14:textId="77777777" w:rsidTr="00E0056C">
        <w:tc>
          <w:tcPr>
            <w:tcW w:w="9810" w:type="dxa"/>
          </w:tcPr>
          <w:p w14:paraId="4141F7F9" w14:textId="33F56317" w:rsidR="009F5421" w:rsidRPr="009F5421" w:rsidRDefault="009F5421" w:rsidP="00C32EC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F5421">
              <w:rPr>
                <w:rFonts w:ascii="Times New Roman" w:hAnsi="Times New Roman" w:cs="Times New Roman"/>
                <w:b/>
              </w:rPr>
              <w:t>B. Current Costs Per Unit</w:t>
            </w:r>
            <w:r w:rsidR="007822A5">
              <w:rPr>
                <w:rFonts w:ascii="Times New Roman" w:hAnsi="Times New Roman" w:cs="Times New Roman"/>
                <w:vertAlign w:val="superscript"/>
              </w:rPr>
              <w:t>^</w:t>
            </w:r>
          </w:p>
          <w:p w14:paraId="27A2270F" w14:textId="2D23B12F" w:rsidR="009F5421" w:rsidRPr="009F5421" w:rsidRDefault="009F5421" w:rsidP="00C32EC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 xml:space="preserve">Q3. Looking back, how do your current </w:t>
            </w:r>
            <w:r w:rsidRPr="009F5421">
              <w:rPr>
                <w:rFonts w:ascii="Times New Roman" w:hAnsi="Times New Roman" w:cs="Times New Roman"/>
                <w:b/>
              </w:rPr>
              <w:t>COSTS PER UNIT</w:t>
            </w:r>
            <w:r w:rsidR="007822A5">
              <w:rPr>
                <w:rFonts w:ascii="Times New Roman" w:hAnsi="Times New Roman" w:cs="Times New Roman"/>
                <w:vertAlign w:val="superscript"/>
              </w:rPr>
              <w:t>^</w:t>
            </w:r>
            <w:r w:rsidRPr="009F5421">
              <w:rPr>
                <w:rFonts w:ascii="Times New Roman" w:hAnsi="Times New Roman" w:cs="Times New Roman"/>
                <w:b/>
              </w:rPr>
              <w:t xml:space="preserve"> </w:t>
            </w:r>
            <w:r w:rsidRPr="009F5421">
              <w:rPr>
                <w:rFonts w:ascii="Times New Roman" w:hAnsi="Times New Roman" w:cs="Times New Roman"/>
              </w:rPr>
              <w:t xml:space="preserve">compare with this time last year? </w:t>
            </w:r>
          </w:p>
          <w:p w14:paraId="12C13634" w14:textId="77777777" w:rsidR="009F5421" w:rsidRPr="009F5421" w:rsidRDefault="009F5421" w:rsidP="00C32E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>Down (&lt; -1%)</w:t>
            </w:r>
          </w:p>
          <w:p w14:paraId="194934DF" w14:textId="77777777" w:rsidR="009F5421" w:rsidRPr="009F5421" w:rsidRDefault="009F5421" w:rsidP="00C32E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>About unchanged (-1% to 1%)</w:t>
            </w:r>
          </w:p>
          <w:p w14:paraId="287E0988" w14:textId="77777777" w:rsidR="009F5421" w:rsidRPr="009F5421" w:rsidRDefault="009F5421" w:rsidP="00C32E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>Up somewhat (1.1% to 3%)</w:t>
            </w:r>
          </w:p>
          <w:p w14:paraId="06407AEE" w14:textId="77777777" w:rsidR="009F5421" w:rsidRPr="009F5421" w:rsidRDefault="009F5421" w:rsidP="00C32E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>Up moderately (3.1% to 6%)</w:t>
            </w:r>
          </w:p>
          <w:p w14:paraId="72B8ABBD" w14:textId="77777777" w:rsidR="009F5421" w:rsidRPr="009F5421" w:rsidRDefault="009F5421" w:rsidP="00C32E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>Up significantly (6.1% to 10%)</w:t>
            </w:r>
          </w:p>
          <w:p w14:paraId="31A1631A" w14:textId="1105A8A9" w:rsidR="009F5421" w:rsidRDefault="009F5421" w:rsidP="00C32E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 xml:space="preserve">Up very significantly </w:t>
            </w:r>
            <w:r w:rsidR="002B2E73" w:rsidRPr="009F5421">
              <w:rPr>
                <w:rFonts w:ascii="Times New Roman" w:hAnsi="Times New Roman" w:cs="Times New Roman"/>
              </w:rPr>
              <w:t>(&gt;</w:t>
            </w:r>
            <w:r w:rsidRPr="009F5421">
              <w:rPr>
                <w:rFonts w:ascii="Times New Roman" w:hAnsi="Times New Roman" w:cs="Times New Roman"/>
              </w:rPr>
              <w:t xml:space="preserve"> 10%)</w:t>
            </w:r>
          </w:p>
          <w:p w14:paraId="21240355" w14:textId="77777777" w:rsidR="002B2E73" w:rsidRPr="009F5421" w:rsidRDefault="002B2E73" w:rsidP="00C32E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4A90B3" w14:textId="77777777" w:rsidR="009F5421" w:rsidRDefault="007822A5" w:rsidP="00C32EC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>^</w:t>
            </w:r>
            <w:r w:rsidR="009F5421" w:rsidRPr="009F5421">
              <w:rPr>
                <w:rFonts w:ascii="Times New Roman" w:hAnsi="Times New Roman" w:cs="Times New Roman"/>
                <w:i/>
                <w:vertAlign w:val="superscript"/>
              </w:rPr>
              <w:t xml:space="preserve">   </w:t>
            </w:r>
            <w:r w:rsidR="009F5421" w:rsidRPr="009F5421">
              <w:rPr>
                <w:rFonts w:ascii="Times New Roman" w:hAnsi="Times New Roman" w:cs="Times New Roman"/>
                <w:i/>
              </w:rPr>
              <w:t>of the main or most important product in terms of sales.</w:t>
            </w:r>
          </w:p>
          <w:p w14:paraId="67605FAC" w14:textId="4D2D6362" w:rsidR="002B2E73" w:rsidRPr="009F5421" w:rsidRDefault="002B2E73" w:rsidP="00C32E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F5421" w:rsidRPr="009F5421" w14:paraId="00AB4649" w14:textId="77777777" w:rsidTr="00E0056C">
        <w:tc>
          <w:tcPr>
            <w:tcW w:w="9810" w:type="dxa"/>
          </w:tcPr>
          <w:p w14:paraId="68E513D6" w14:textId="0AD847BD" w:rsidR="009F5421" w:rsidRPr="009F5421" w:rsidRDefault="009F5421" w:rsidP="00C32EC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F5421">
              <w:rPr>
                <w:rFonts w:ascii="Times New Roman" w:hAnsi="Times New Roman" w:cs="Times New Roman"/>
                <w:b/>
              </w:rPr>
              <w:t>C. Forward Looking Costs Per Unit</w:t>
            </w:r>
            <w:r w:rsidR="00A44EBC">
              <w:rPr>
                <w:rFonts w:ascii="Times New Roman" w:hAnsi="Times New Roman" w:cs="Times New Roman"/>
                <w:vertAlign w:val="superscript"/>
              </w:rPr>
              <w:t>$</w:t>
            </w:r>
          </w:p>
          <w:p w14:paraId="4EC05E36" w14:textId="37E18B5B" w:rsidR="009F5421" w:rsidRPr="009F5421" w:rsidRDefault="009F5421" w:rsidP="00C32EC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54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Q4. Projecting ahead, to the best of your ability, please assign a percent likelihood</w:t>
            </w:r>
            <w:r w:rsidR="00343E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F54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(probability) to the following changes to costs per unit</w:t>
            </w:r>
            <w:r w:rsidR="00A44EB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$</w:t>
            </w:r>
            <w:r w:rsidRPr="009F54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over the next 12 months. </w:t>
            </w:r>
          </w:p>
          <w:p w14:paraId="44EB25FE" w14:textId="77777777" w:rsidR="009F5421" w:rsidRPr="009F5421" w:rsidRDefault="009F5421" w:rsidP="00C32EC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right" w:tblpY="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68"/>
            </w:tblGrid>
            <w:tr w:rsidR="009F5421" w:rsidRPr="009F5421" w14:paraId="5D629786" w14:textId="77777777" w:rsidTr="00E0056C">
              <w:trPr>
                <w:trHeight w:val="348"/>
              </w:trPr>
              <w:tc>
                <w:tcPr>
                  <w:tcW w:w="1368" w:type="dxa"/>
                </w:tcPr>
                <w:p w14:paraId="0C1D5C17" w14:textId="77777777" w:rsidR="009F5421" w:rsidRPr="009F5421" w:rsidRDefault="009F5421" w:rsidP="00C32EC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9F542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%</w:t>
                  </w:r>
                </w:p>
              </w:tc>
            </w:tr>
            <w:tr w:rsidR="009F5421" w:rsidRPr="009F5421" w14:paraId="21B5BDCE" w14:textId="77777777" w:rsidTr="00E0056C">
              <w:trPr>
                <w:trHeight w:val="249"/>
              </w:trPr>
              <w:tc>
                <w:tcPr>
                  <w:tcW w:w="1368" w:type="dxa"/>
                </w:tcPr>
                <w:p w14:paraId="2A5BE039" w14:textId="77777777" w:rsidR="009F5421" w:rsidRPr="009F5421" w:rsidRDefault="009F5421" w:rsidP="00C32EC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9F542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%</w:t>
                  </w:r>
                </w:p>
              </w:tc>
            </w:tr>
            <w:tr w:rsidR="009F5421" w:rsidRPr="009F5421" w14:paraId="1B5A00A3" w14:textId="77777777" w:rsidTr="00E0056C">
              <w:trPr>
                <w:trHeight w:val="330"/>
              </w:trPr>
              <w:tc>
                <w:tcPr>
                  <w:tcW w:w="1368" w:type="dxa"/>
                </w:tcPr>
                <w:p w14:paraId="543F4C2B" w14:textId="77777777" w:rsidR="009F5421" w:rsidRPr="009F5421" w:rsidRDefault="009F5421" w:rsidP="00C32EC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9F542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%</w:t>
                  </w:r>
                </w:p>
              </w:tc>
            </w:tr>
            <w:tr w:rsidR="009F5421" w:rsidRPr="009F5421" w14:paraId="6AC261C8" w14:textId="77777777" w:rsidTr="00E0056C">
              <w:trPr>
                <w:trHeight w:val="357"/>
              </w:trPr>
              <w:tc>
                <w:tcPr>
                  <w:tcW w:w="1368" w:type="dxa"/>
                </w:tcPr>
                <w:p w14:paraId="66D74015" w14:textId="77777777" w:rsidR="009F5421" w:rsidRPr="009F5421" w:rsidRDefault="009F5421" w:rsidP="00C32EC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9F542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%</w:t>
                  </w:r>
                </w:p>
              </w:tc>
            </w:tr>
            <w:tr w:rsidR="009F5421" w:rsidRPr="009F5421" w14:paraId="0DB56C05" w14:textId="77777777" w:rsidTr="00E0056C">
              <w:trPr>
                <w:trHeight w:val="276"/>
              </w:trPr>
              <w:tc>
                <w:tcPr>
                  <w:tcW w:w="1368" w:type="dxa"/>
                </w:tcPr>
                <w:p w14:paraId="3E2E3509" w14:textId="77777777" w:rsidR="009F5421" w:rsidRPr="009F5421" w:rsidRDefault="009F5421" w:rsidP="00C32EC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9F542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%</w:t>
                  </w:r>
                </w:p>
              </w:tc>
            </w:tr>
            <w:tr w:rsidR="009F5421" w:rsidRPr="009F5421" w14:paraId="3734B6AB" w14:textId="77777777" w:rsidTr="00E0056C">
              <w:trPr>
                <w:trHeight w:val="276"/>
              </w:trPr>
              <w:tc>
                <w:tcPr>
                  <w:tcW w:w="1368" w:type="dxa"/>
                </w:tcPr>
                <w:p w14:paraId="03FDB5D1" w14:textId="77777777" w:rsidR="009F5421" w:rsidRPr="009F5421" w:rsidRDefault="009F5421" w:rsidP="00C32EC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9F5421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%</w:t>
                  </w:r>
                </w:p>
              </w:tc>
            </w:tr>
          </w:tbl>
          <w:p w14:paraId="7C508A3F" w14:textId="77777777" w:rsidR="009F5421" w:rsidRPr="009F5421" w:rsidRDefault="009F5421" w:rsidP="00C32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 xml:space="preserve">Unit costs down (less than -1%)           </w:t>
            </w:r>
          </w:p>
          <w:p w14:paraId="38D481B5" w14:textId="77777777" w:rsidR="009F5421" w:rsidRPr="009F5421" w:rsidRDefault="009F5421" w:rsidP="00C32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>Unit costs about unchanged (-1% to 1%)</w:t>
            </w:r>
          </w:p>
          <w:p w14:paraId="4B80C91B" w14:textId="77777777" w:rsidR="009F5421" w:rsidRPr="009F5421" w:rsidRDefault="009F5421" w:rsidP="00C32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>Unit costs up somewhat (1.1% to 3%)</w:t>
            </w:r>
          </w:p>
          <w:p w14:paraId="26AFEE2C" w14:textId="77777777" w:rsidR="009F5421" w:rsidRPr="009F5421" w:rsidRDefault="009F5421" w:rsidP="00C32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>Unit costs up moderately (3.1% to 6%)</w:t>
            </w:r>
          </w:p>
          <w:p w14:paraId="4650CDE6" w14:textId="77777777" w:rsidR="009F5421" w:rsidRPr="009F5421" w:rsidRDefault="009F5421" w:rsidP="00C32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>Unit costs up significantly (6.1% to 10%)</w:t>
            </w:r>
          </w:p>
          <w:p w14:paraId="24F7C813" w14:textId="4C79E0AC" w:rsidR="009F5421" w:rsidRPr="009F5421" w:rsidRDefault="009F5421" w:rsidP="00C32E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5421">
              <w:rPr>
                <w:rFonts w:ascii="Times New Roman" w:hAnsi="Times New Roman" w:cs="Times New Roman"/>
              </w:rPr>
              <w:t xml:space="preserve">Unit costs up very significantly </w:t>
            </w:r>
            <w:r w:rsidR="002B2E73" w:rsidRPr="009F5421">
              <w:rPr>
                <w:rFonts w:ascii="Times New Roman" w:hAnsi="Times New Roman" w:cs="Times New Roman"/>
              </w:rPr>
              <w:t>(&gt;</w:t>
            </w:r>
            <w:r w:rsidRPr="009F5421">
              <w:rPr>
                <w:rFonts w:ascii="Times New Roman" w:hAnsi="Times New Roman" w:cs="Times New Roman"/>
              </w:rPr>
              <w:t>10%)</w:t>
            </w:r>
          </w:p>
          <w:p w14:paraId="14765671" w14:textId="77777777" w:rsidR="009F5421" w:rsidRDefault="009F5421" w:rsidP="00C32EC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vertAlign w:val="superscript"/>
              </w:rPr>
            </w:pPr>
          </w:p>
          <w:p w14:paraId="6CA33490" w14:textId="788FD362" w:rsidR="009F5421" w:rsidRPr="009F5421" w:rsidRDefault="00A44EBC" w:rsidP="00C32EC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>$</w:t>
            </w:r>
            <w:r w:rsidR="009F5421" w:rsidRPr="009F5421">
              <w:rPr>
                <w:rFonts w:ascii="Times New Roman" w:hAnsi="Times New Roman" w:cs="Times New Roman"/>
                <w:i/>
                <w:vertAlign w:val="superscript"/>
              </w:rPr>
              <w:t xml:space="preserve">   </w:t>
            </w:r>
            <w:r w:rsidR="009F5421" w:rsidRPr="009F5421">
              <w:rPr>
                <w:rFonts w:ascii="Times New Roman" w:hAnsi="Times New Roman" w:cs="Times New Roman"/>
                <w:i/>
              </w:rPr>
              <w:t>of the main or most important product in terms of sales.</w:t>
            </w:r>
          </w:p>
          <w:p w14:paraId="2AB519CB" w14:textId="1ADEDA16" w:rsidR="009F5421" w:rsidRPr="002B2E73" w:rsidRDefault="009F5421" w:rsidP="00C32E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B2E73">
              <w:rPr>
                <w:rFonts w:ascii="Times New Roman" w:hAnsi="Times New Roman" w:cs="Times New Roman"/>
                <w:b/>
                <w:bCs/>
                <w:i/>
              </w:rPr>
              <w:t>Values should add up to 100%</w:t>
            </w:r>
            <w:r w:rsidRPr="002B2E7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51EB5A77" w14:textId="77777777" w:rsidR="009F5421" w:rsidRPr="00925659" w:rsidRDefault="009F5421" w:rsidP="00C32EC0">
      <w:pPr>
        <w:spacing w:after="0" w:line="240" w:lineRule="auto"/>
        <w:jc w:val="center"/>
        <w:rPr>
          <w:b/>
          <w:sz w:val="32"/>
          <w:szCs w:val="32"/>
        </w:rPr>
      </w:pPr>
    </w:p>
    <w:sectPr w:rsidR="009F5421" w:rsidRPr="00925659" w:rsidSect="00584765">
      <w:headerReference w:type="default" r:id="rId13"/>
      <w:footerReference w:type="default" r:id="rId14"/>
      <w:pgSz w:w="11900" w:h="16840"/>
      <w:pgMar w:top="1440" w:right="1440" w:bottom="1440" w:left="1440" w:header="567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3C04" w14:textId="77777777" w:rsidR="00962875" w:rsidRDefault="00962875" w:rsidP="00B81990">
      <w:pPr>
        <w:spacing w:after="0" w:line="240" w:lineRule="auto"/>
      </w:pPr>
      <w:r>
        <w:separator/>
      </w:r>
    </w:p>
  </w:endnote>
  <w:endnote w:type="continuationSeparator" w:id="0">
    <w:p w14:paraId="1B1A916B" w14:textId="77777777" w:rsidR="00962875" w:rsidRDefault="00962875" w:rsidP="00B8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7989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405DCBC" w14:textId="52AA4CDA" w:rsidR="008007DF" w:rsidRPr="003705BC" w:rsidRDefault="008007DF">
        <w:pPr>
          <w:pStyle w:val="Footer"/>
          <w:jc w:val="center"/>
          <w:rPr>
            <w:rFonts w:ascii="Times New Roman" w:hAnsi="Times New Roman" w:cs="Times New Roman"/>
          </w:rPr>
        </w:pPr>
        <w:r w:rsidRPr="003705BC">
          <w:rPr>
            <w:rFonts w:ascii="Times New Roman" w:hAnsi="Times New Roman" w:cs="Times New Roman"/>
          </w:rPr>
          <w:fldChar w:fldCharType="begin"/>
        </w:r>
        <w:r w:rsidRPr="003705BC">
          <w:rPr>
            <w:rFonts w:ascii="Times New Roman" w:hAnsi="Times New Roman" w:cs="Times New Roman"/>
          </w:rPr>
          <w:instrText xml:space="preserve"> PAGE   \* MERGEFORMAT </w:instrText>
        </w:r>
        <w:r w:rsidRPr="003705BC">
          <w:rPr>
            <w:rFonts w:ascii="Times New Roman" w:hAnsi="Times New Roman" w:cs="Times New Roman"/>
          </w:rPr>
          <w:fldChar w:fldCharType="separate"/>
        </w:r>
        <w:r w:rsidR="008618F2">
          <w:rPr>
            <w:rFonts w:ascii="Times New Roman" w:hAnsi="Times New Roman" w:cs="Times New Roman"/>
            <w:noProof/>
          </w:rPr>
          <w:t>3</w:t>
        </w:r>
        <w:r w:rsidRPr="003705B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00FC5F3" w14:textId="77777777" w:rsidR="008007DF" w:rsidRDefault="00800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11FB" w14:textId="77777777" w:rsidR="00962875" w:rsidRDefault="00962875" w:rsidP="00B81990">
      <w:pPr>
        <w:spacing w:after="0" w:line="240" w:lineRule="auto"/>
      </w:pPr>
      <w:r>
        <w:separator/>
      </w:r>
    </w:p>
  </w:footnote>
  <w:footnote w:type="continuationSeparator" w:id="0">
    <w:p w14:paraId="134F4CD5" w14:textId="77777777" w:rsidR="00962875" w:rsidRDefault="00962875" w:rsidP="00B81990">
      <w:pPr>
        <w:spacing w:after="0" w:line="240" w:lineRule="auto"/>
      </w:pPr>
      <w:r>
        <w:continuationSeparator/>
      </w:r>
    </w:p>
  </w:footnote>
  <w:footnote w:id="1">
    <w:p w14:paraId="0D9D0F3A" w14:textId="6AFBDC57" w:rsidR="0017297C" w:rsidRPr="00D21DF1" w:rsidRDefault="0017297C" w:rsidP="001729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DF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21DF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D21DF1">
        <w:rPr>
          <w:rFonts w:ascii="Times New Roman" w:hAnsi="Times New Roman" w:cs="Times New Roman"/>
          <w:sz w:val="18"/>
          <w:szCs w:val="18"/>
        </w:rPr>
        <w:t>"Normal" means as compared to the average level obtained in the preceding 3 years</w:t>
      </w:r>
      <w:r w:rsidR="009755AB" w:rsidRPr="00D21DF1">
        <w:rPr>
          <w:rFonts w:ascii="Times New Roman" w:hAnsi="Times New Roman" w:cs="Times New Roman"/>
          <w:sz w:val="18"/>
          <w:szCs w:val="18"/>
        </w:rPr>
        <w:t>, excluding</w:t>
      </w:r>
      <w:r w:rsidR="0043523B">
        <w:rPr>
          <w:rFonts w:ascii="Times New Roman" w:hAnsi="Times New Roman" w:cs="Times New Roman"/>
          <w:sz w:val="18"/>
          <w:szCs w:val="18"/>
        </w:rPr>
        <w:t xml:space="preserve"> the</w:t>
      </w:r>
      <w:r w:rsidR="009755AB" w:rsidRPr="00D21DF1">
        <w:rPr>
          <w:rFonts w:ascii="Times New Roman" w:hAnsi="Times New Roman" w:cs="Times New Roman"/>
          <w:sz w:val="18"/>
          <w:szCs w:val="18"/>
        </w:rPr>
        <w:t xml:space="preserve"> Covid-19 </w:t>
      </w:r>
      <w:r w:rsidR="00D21DF1" w:rsidRPr="00D21DF1">
        <w:rPr>
          <w:rFonts w:ascii="Times New Roman" w:hAnsi="Times New Roman" w:cs="Times New Roman"/>
          <w:sz w:val="18"/>
          <w:szCs w:val="18"/>
        </w:rPr>
        <w:t>period</w:t>
      </w:r>
      <w:r w:rsidRPr="00D21DF1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D5DD7D8" w14:textId="77777777" w:rsidR="0017297C" w:rsidRDefault="0017297C" w:rsidP="0017297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DE93" w14:textId="77777777" w:rsidR="008007DF" w:rsidRDefault="008007DF" w:rsidP="00584765">
    <w:pPr>
      <w:pStyle w:val="Header"/>
      <w:ind w:left="284"/>
      <w:jc w:val="center"/>
    </w:pPr>
    <w:r>
      <w:rPr>
        <w:noProof/>
        <w:lang w:eastAsia="en-IN"/>
      </w:rPr>
      <w:drawing>
        <wp:inline distT="0" distB="0" distL="0" distR="0" wp14:anchorId="4CA98FB0" wp14:editId="21E20317">
          <wp:extent cx="5160264" cy="9083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IMA LETTERHEAD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0264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AF3"/>
    <w:multiLevelType w:val="hybridMultilevel"/>
    <w:tmpl w:val="D9728BA6"/>
    <w:lvl w:ilvl="0" w:tplc="90E06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050D"/>
    <w:multiLevelType w:val="hybridMultilevel"/>
    <w:tmpl w:val="FF28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46949"/>
    <w:multiLevelType w:val="multilevel"/>
    <w:tmpl w:val="E4C875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278C9"/>
    <w:multiLevelType w:val="hybridMultilevel"/>
    <w:tmpl w:val="EF24F5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C85666"/>
    <w:multiLevelType w:val="hybridMultilevel"/>
    <w:tmpl w:val="5E0428AC"/>
    <w:lvl w:ilvl="0" w:tplc="90E06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08F5"/>
    <w:multiLevelType w:val="hybridMultilevel"/>
    <w:tmpl w:val="88AC93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184CC5"/>
    <w:multiLevelType w:val="hybridMultilevel"/>
    <w:tmpl w:val="A5E25148"/>
    <w:lvl w:ilvl="0" w:tplc="AFFAB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2108B"/>
    <w:multiLevelType w:val="hybridMultilevel"/>
    <w:tmpl w:val="9E24549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4F7606"/>
    <w:multiLevelType w:val="hybridMultilevel"/>
    <w:tmpl w:val="1BCE20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C61DA0"/>
    <w:multiLevelType w:val="hybridMultilevel"/>
    <w:tmpl w:val="89E0B606"/>
    <w:lvl w:ilvl="0" w:tplc="90E06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A7A75"/>
    <w:multiLevelType w:val="hybridMultilevel"/>
    <w:tmpl w:val="4B928D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166356"/>
    <w:multiLevelType w:val="hybridMultilevel"/>
    <w:tmpl w:val="67C69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1074BC"/>
    <w:multiLevelType w:val="hybridMultilevel"/>
    <w:tmpl w:val="366641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E3998"/>
    <w:multiLevelType w:val="hybridMultilevel"/>
    <w:tmpl w:val="93DE1C96"/>
    <w:lvl w:ilvl="0" w:tplc="90E06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3"/>
  </w:num>
  <w:num w:numId="9">
    <w:abstractNumId w:val="9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57"/>
    <w:rsid w:val="00000209"/>
    <w:rsid w:val="0000342E"/>
    <w:rsid w:val="00004803"/>
    <w:rsid w:val="00013CAF"/>
    <w:rsid w:val="000144A7"/>
    <w:rsid w:val="0001471A"/>
    <w:rsid w:val="00015185"/>
    <w:rsid w:val="00015899"/>
    <w:rsid w:val="00015A8B"/>
    <w:rsid w:val="00021AB1"/>
    <w:rsid w:val="00025620"/>
    <w:rsid w:val="00026033"/>
    <w:rsid w:val="0002632C"/>
    <w:rsid w:val="00027F31"/>
    <w:rsid w:val="000302BE"/>
    <w:rsid w:val="00031DFE"/>
    <w:rsid w:val="00034A5A"/>
    <w:rsid w:val="00037176"/>
    <w:rsid w:val="0004003F"/>
    <w:rsid w:val="00040413"/>
    <w:rsid w:val="000410FA"/>
    <w:rsid w:val="000443E0"/>
    <w:rsid w:val="00053212"/>
    <w:rsid w:val="00053843"/>
    <w:rsid w:val="00060619"/>
    <w:rsid w:val="000626AA"/>
    <w:rsid w:val="000628D6"/>
    <w:rsid w:val="00064F22"/>
    <w:rsid w:val="00065202"/>
    <w:rsid w:val="00065EDD"/>
    <w:rsid w:val="0006709C"/>
    <w:rsid w:val="000675FC"/>
    <w:rsid w:val="000679C4"/>
    <w:rsid w:val="000701A1"/>
    <w:rsid w:val="00071354"/>
    <w:rsid w:val="000716F4"/>
    <w:rsid w:val="000724B4"/>
    <w:rsid w:val="00082909"/>
    <w:rsid w:val="00084082"/>
    <w:rsid w:val="00085767"/>
    <w:rsid w:val="000872BA"/>
    <w:rsid w:val="000873F6"/>
    <w:rsid w:val="00092DB4"/>
    <w:rsid w:val="00093B14"/>
    <w:rsid w:val="00097167"/>
    <w:rsid w:val="0009761D"/>
    <w:rsid w:val="000A10BC"/>
    <w:rsid w:val="000A1926"/>
    <w:rsid w:val="000A6FCF"/>
    <w:rsid w:val="000B078A"/>
    <w:rsid w:val="000B340F"/>
    <w:rsid w:val="000B3470"/>
    <w:rsid w:val="000B3F00"/>
    <w:rsid w:val="000B5383"/>
    <w:rsid w:val="000B54A3"/>
    <w:rsid w:val="000B5676"/>
    <w:rsid w:val="000C0072"/>
    <w:rsid w:val="000C390A"/>
    <w:rsid w:val="000C5D52"/>
    <w:rsid w:val="000D0B24"/>
    <w:rsid w:val="000D169A"/>
    <w:rsid w:val="000D1B86"/>
    <w:rsid w:val="000D243C"/>
    <w:rsid w:val="000D28D8"/>
    <w:rsid w:val="000D2DBD"/>
    <w:rsid w:val="000D3711"/>
    <w:rsid w:val="000D4065"/>
    <w:rsid w:val="000D5339"/>
    <w:rsid w:val="000D5B12"/>
    <w:rsid w:val="000D5B8B"/>
    <w:rsid w:val="000D5EC6"/>
    <w:rsid w:val="000E3FF4"/>
    <w:rsid w:val="000E410F"/>
    <w:rsid w:val="000E4289"/>
    <w:rsid w:val="000E42F3"/>
    <w:rsid w:val="000E7205"/>
    <w:rsid w:val="000E7FF9"/>
    <w:rsid w:val="000F1DBA"/>
    <w:rsid w:val="000F200B"/>
    <w:rsid w:val="000F2DA8"/>
    <w:rsid w:val="000F3EC8"/>
    <w:rsid w:val="000F4528"/>
    <w:rsid w:val="000F4862"/>
    <w:rsid w:val="000F5617"/>
    <w:rsid w:val="000F6143"/>
    <w:rsid w:val="000F6AE1"/>
    <w:rsid w:val="001014DD"/>
    <w:rsid w:val="0010342A"/>
    <w:rsid w:val="001058C8"/>
    <w:rsid w:val="001075BA"/>
    <w:rsid w:val="001077C5"/>
    <w:rsid w:val="001158B6"/>
    <w:rsid w:val="00117EA6"/>
    <w:rsid w:val="00123D0E"/>
    <w:rsid w:val="0012538D"/>
    <w:rsid w:val="0013526D"/>
    <w:rsid w:val="0013639C"/>
    <w:rsid w:val="001364E8"/>
    <w:rsid w:val="0013692E"/>
    <w:rsid w:val="001426EF"/>
    <w:rsid w:val="00151017"/>
    <w:rsid w:val="0015464E"/>
    <w:rsid w:val="001559BA"/>
    <w:rsid w:val="00160FE9"/>
    <w:rsid w:val="00161778"/>
    <w:rsid w:val="0016283C"/>
    <w:rsid w:val="00164F51"/>
    <w:rsid w:val="001655AC"/>
    <w:rsid w:val="001656CB"/>
    <w:rsid w:val="00166A4E"/>
    <w:rsid w:val="00167BCC"/>
    <w:rsid w:val="00170903"/>
    <w:rsid w:val="00170B41"/>
    <w:rsid w:val="00170E03"/>
    <w:rsid w:val="0017297C"/>
    <w:rsid w:val="00172D2F"/>
    <w:rsid w:val="00173637"/>
    <w:rsid w:val="00180A28"/>
    <w:rsid w:val="001819EF"/>
    <w:rsid w:val="00184672"/>
    <w:rsid w:val="00185803"/>
    <w:rsid w:val="001913BE"/>
    <w:rsid w:val="00193978"/>
    <w:rsid w:val="001940AF"/>
    <w:rsid w:val="00195BE5"/>
    <w:rsid w:val="00196273"/>
    <w:rsid w:val="001962BE"/>
    <w:rsid w:val="001A0262"/>
    <w:rsid w:val="001A0A32"/>
    <w:rsid w:val="001A458D"/>
    <w:rsid w:val="001A6746"/>
    <w:rsid w:val="001B402A"/>
    <w:rsid w:val="001B6932"/>
    <w:rsid w:val="001C3CD1"/>
    <w:rsid w:val="001C51A0"/>
    <w:rsid w:val="001C58E1"/>
    <w:rsid w:val="001D09C4"/>
    <w:rsid w:val="001D4136"/>
    <w:rsid w:val="001D4FBC"/>
    <w:rsid w:val="001D528C"/>
    <w:rsid w:val="001E1067"/>
    <w:rsid w:val="001E2827"/>
    <w:rsid w:val="001E3345"/>
    <w:rsid w:val="001E4459"/>
    <w:rsid w:val="001E6B4A"/>
    <w:rsid w:val="001E70EB"/>
    <w:rsid w:val="001E78D4"/>
    <w:rsid w:val="001F0744"/>
    <w:rsid w:val="001F205A"/>
    <w:rsid w:val="001F2121"/>
    <w:rsid w:val="001F2A04"/>
    <w:rsid w:val="001F2D5B"/>
    <w:rsid w:val="00200CD6"/>
    <w:rsid w:val="002027FF"/>
    <w:rsid w:val="00204D14"/>
    <w:rsid w:val="002064CD"/>
    <w:rsid w:val="00207737"/>
    <w:rsid w:val="00207BE1"/>
    <w:rsid w:val="00207C62"/>
    <w:rsid w:val="002155D9"/>
    <w:rsid w:val="0021734F"/>
    <w:rsid w:val="00221CD4"/>
    <w:rsid w:val="0022284A"/>
    <w:rsid w:val="00222E7C"/>
    <w:rsid w:val="002232C2"/>
    <w:rsid w:val="002264C8"/>
    <w:rsid w:val="002267FF"/>
    <w:rsid w:val="00227510"/>
    <w:rsid w:val="00227966"/>
    <w:rsid w:val="00231C31"/>
    <w:rsid w:val="00231EFD"/>
    <w:rsid w:val="00232F2E"/>
    <w:rsid w:val="00233A94"/>
    <w:rsid w:val="002410E7"/>
    <w:rsid w:val="002514D0"/>
    <w:rsid w:val="0025286A"/>
    <w:rsid w:val="002528D0"/>
    <w:rsid w:val="0025352C"/>
    <w:rsid w:val="00255A73"/>
    <w:rsid w:val="002567FB"/>
    <w:rsid w:val="00260665"/>
    <w:rsid w:val="00262ADA"/>
    <w:rsid w:val="00266E93"/>
    <w:rsid w:val="00271E01"/>
    <w:rsid w:val="00272D72"/>
    <w:rsid w:val="00273D5F"/>
    <w:rsid w:val="00274379"/>
    <w:rsid w:val="00274B79"/>
    <w:rsid w:val="0027677A"/>
    <w:rsid w:val="00286CBD"/>
    <w:rsid w:val="002873A6"/>
    <w:rsid w:val="002875EA"/>
    <w:rsid w:val="00291B83"/>
    <w:rsid w:val="00292C4F"/>
    <w:rsid w:val="00292FB0"/>
    <w:rsid w:val="002949DE"/>
    <w:rsid w:val="002949FE"/>
    <w:rsid w:val="002975E5"/>
    <w:rsid w:val="002A0134"/>
    <w:rsid w:val="002A1938"/>
    <w:rsid w:val="002A1AB4"/>
    <w:rsid w:val="002A1AE3"/>
    <w:rsid w:val="002A1D6C"/>
    <w:rsid w:val="002A2879"/>
    <w:rsid w:val="002B08C2"/>
    <w:rsid w:val="002B2E73"/>
    <w:rsid w:val="002B3C87"/>
    <w:rsid w:val="002B44CB"/>
    <w:rsid w:val="002B5390"/>
    <w:rsid w:val="002B6ADE"/>
    <w:rsid w:val="002B7535"/>
    <w:rsid w:val="002B7A19"/>
    <w:rsid w:val="002B7C03"/>
    <w:rsid w:val="002B7E20"/>
    <w:rsid w:val="002C3C75"/>
    <w:rsid w:val="002C4B55"/>
    <w:rsid w:val="002C552F"/>
    <w:rsid w:val="002C7882"/>
    <w:rsid w:val="002D47D1"/>
    <w:rsid w:val="002E071E"/>
    <w:rsid w:val="002E0B96"/>
    <w:rsid w:val="002E1564"/>
    <w:rsid w:val="002E1E5B"/>
    <w:rsid w:val="002E472B"/>
    <w:rsid w:val="002E5927"/>
    <w:rsid w:val="002E6BAB"/>
    <w:rsid w:val="002E6CE0"/>
    <w:rsid w:val="002E71DD"/>
    <w:rsid w:val="002F048F"/>
    <w:rsid w:val="002F0A3B"/>
    <w:rsid w:val="002F3281"/>
    <w:rsid w:val="002F32F6"/>
    <w:rsid w:val="002F52A9"/>
    <w:rsid w:val="002F6C65"/>
    <w:rsid w:val="002F71A2"/>
    <w:rsid w:val="00301BD0"/>
    <w:rsid w:val="00302F73"/>
    <w:rsid w:val="00302FBC"/>
    <w:rsid w:val="00305C1A"/>
    <w:rsid w:val="0031074F"/>
    <w:rsid w:val="00310E5B"/>
    <w:rsid w:val="0031287C"/>
    <w:rsid w:val="00317445"/>
    <w:rsid w:val="00317E96"/>
    <w:rsid w:val="003204B3"/>
    <w:rsid w:val="003209CA"/>
    <w:rsid w:val="00320A9D"/>
    <w:rsid w:val="00320D86"/>
    <w:rsid w:val="00321AB6"/>
    <w:rsid w:val="00322121"/>
    <w:rsid w:val="003225AA"/>
    <w:rsid w:val="00322887"/>
    <w:rsid w:val="003263A7"/>
    <w:rsid w:val="003267C1"/>
    <w:rsid w:val="003268A4"/>
    <w:rsid w:val="0033145F"/>
    <w:rsid w:val="00332D92"/>
    <w:rsid w:val="003352DA"/>
    <w:rsid w:val="003354FD"/>
    <w:rsid w:val="00337620"/>
    <w:rsid w:val="00337BA5"/>
    <w:rsid w:val="00340C14"/>
    <w:rsid w:val="003435B7"/>
    <w:rsid w:val="00343E59"/>
    <w:rsid w:val="00347581"/>
    <w:rsid w:val="003510A7"/>
    <w:rsid w:val="00351891"/>
    <w:rsid w:val="0035640B"/>
    <w:rsid w:val="00357701"/>
    <w:rsid w:val="00360057"/>
    <w:rsid w:val="00360695"/>
    <w:rsid w:val="003705BC"/>
    <w:rsid w:val="00370881"/>
    <w:rsid w:val="00371173"/>
    <w:rsid w:val="0037198D"/>
    <w:rsid w:val="003724F8"/>
    <w:rsid w:val="003727D0"/>
    <w:rsid w:val="003742DC"/>
    <w:rsid w:val="00374FE6"/>
    <w:rsid w:val="0037561C"/>
    <w:rsid w:val="00376B5A"/>
    <w:rsid w:val="00380E7C"/>
    <w:rsid w:val="00381F13"/>
    <w:rsid w:val="00382C8D"/>
    <w:rsid w:val="003836CF"/>
    <w:rsid w:val="00385992"/>
    <w:rsid w:val="00391F5E"/>
    <w:rsid w:val="003935FA"/>
    <w:rsid w:val="00393CA3"/>
    <w:rsid w:val="003A04E1"/>
    <w:rsid w:val="003A3568"/>
    <w:rsid w:val="003A3F72"/>
    <w:rsid w:val="003B0A83"/>
    <w:rsid w:val="003B0CA7"/>
    <w:rsid w:val="003B3A67"/>
    <w:rsid w:val="003B45EB"/>
    <w:rsid w:val="003B488F"/>
    <w:rsid w:val="003B4A6B"/>
    <w:rsid w:val="003B530F"/>
    <w:rsid w:val="003B7854"/>
    <w:rsid w:val="003B7C6A"/>
    <w:rsid w:val="003C0A84"/>
    <w:rsid w:val="003C3FD2"/>
    <w:rsid w:val="003D7A28"/>
    <w:rsid w:val="003E1B2E"/>
    <w:rsid w:val="003E2791"/>
    <w:rsid w:val="003E289D"/>
    <w:rsid w:val="003E2EFE"/>
    <w:rsid w:val="003E3A03"/>
    <w:rsid w:val="003E482A"/>
    <w:rsid w:val="003E6255"/>
    <w:rsid w:val="003E6597"/>
    <w:rsid w:val="003E6C3E"/>
    <w:rsid w:val="003F1404"/>
    <w:rsid w:val="003F30C5"/>
    <w:rsid w:val="003F31CF"/>
    <w:rsid w:val="003F35DA"/>
    <w:rsid w:val="003F4637"/>
    <w:rsid w:val="003F5777"/>
    <w:rsid w:val="003F66AD"/>
    <w:rsid w:val="004067A9"/>
    <w:rsid w:val="00407044"/>
    <w:rsid w:val="00410899"/>
    <w:rsid w:val="00410FBB"/>
    <w:rsid w:val="004136A1"/>
    <w:rsid w:val="00413A4E"/>
    <w:rsid w:val="00413AF7"/>
    <w:rsid w:val="0041454F"/>
    <w:rsid w:val="004146D4"/>
    <w:rsid w:val="00417300"/>
    <w:rsid w:val="00417A15"/>
    <w:rsid w:val="00417C62"/>
    <w:rsid w:val="004205F5"/>
    <w:rsid w:val="004239D7"/>
    <w:rsid w:val="00423FE2"/>
    <w:rsid w:val="00424D9F"/>
    <w:rsid w:val="0042510F"/>
    <w:rsid w:val="0042556D"/>
    <w:rsid w:val="00431952"/>
    <w:rsid w:val="00432020"/>
    <w:rsid w:val="00433F9F"/>
    <w:rsid w:val="0043523B"/>
    <w:rsid w:val="00435AC3"/>
    <w:rsid w:val="00436CA1"/>
    <w:rsid w:val="00437B16"/>
    <w:rsid w:val="00437B42"/>
    <w:rsid w:val="004412D2"/>
    <w:rsid w:val="00442672"/>
    <w:rsid w:val="004426F5"/>
    <w:rsid w:val="004442DD"/>
    <w:rsid w:val="0044490E"/>
    <w:rsid w:val="00447161"/>
    <w:rsid w:val="004545A1"/>
    <w:rsid w:val="004545BC"/>
    <w:rsid w:val="004545C8"/>
    <w:rsid w:val="00455861"/>
    <w:rsid w:val="00456BBD"/>
    <w:rsid w:val="00457D25"/>
    <w:rsid w:val="00462259"/>
    <w:rsid w:val="004623CE"/>
    <w:rsid w:val="004631A4"/>
    <w:rsid w:val="00464CE5"/>
    <w:rsid w:val="00465FD8"/>
    <w:rsid w:val="00466183"/>
    <w:rsid w:val="004672F2"/>
    <w:rsid w:val="00470DD7"/>
    <w:rsid w:val="00472BB9"/>
    <w:rsid w:val="00474577"/>
    <w:rsid w:val="00474E83"/>
    <w:rsid w:val="004753F8"/>
    <w:rsid w:val="004770FA"/>
    <w:rsid w:val="0047750A"/>
    <w:rsid w:val="00480E7F"/>
    <w:rsid w:val="00483060"/>
    <w:rsid w:val="0048423A"/>
    <w:rsid w:val="004863C9"/>
    <w:rsid w:val="00491FB7"/>
    <w:rsid w:val="00494F13"/>
    <w:rsid w:val="0049521A"/>
    <w:rsid w:val="004A0784"/>
    <w:rsid w:val="004A0C11"/>
    <w:rsid w:val="004A2C31"/>
    <w:rsid w:val="004A30A9"/>
    <w:rsid w:val="004A5ABA"/>
    <w:rsid w:val="004A63DC"/>
    <w:rsid w:val="004B0842"/>
    <w:rsid w:val="004B16A0"/>
    <w:rsid w:val="004B3D36"/>
    <w:rsid w:val="004B6656"/>
    <w:rsid w:val="004B6A7E"/>
    <w:rsid w:val="004C1774"/>
    <w:rsid w:val="004C2F32"/>
    <w:rsid w:val="004C494A"/>
    <w:rsid w:val="004C6586"/>
    <w:rsid w:val="004C6A4D"/>
    <w:rsid w:val="004C6A56"/>
    <w:rsid w:val="004C74E8"/>
    <w:rsid w:val="004D05D3"/>
    <w:rsid w:val="004D357B"/>
    <w:rsid w:val="004D521F"/>
    <w:rsid w:val="004D785F"/>
    <w:rsid w:val="004D79CC"/>
    <w:rsid w:val="004E45A6"/>
    <w:rsid w:val="004E4E8E"/>
    <w:rsid w:val="004E4F1C"/>
    <w:rsid w:val="004E5E11"/>
    <w:rsid w:val="004E680E"/>
    <w:rsid w:val="004E6F57"/>
    <w:rsid w:val="004E7722"/>
    <w:rsid w:val="004F099C"/>
    <w:rsid w:val="004F1230"/>
    <w:rsid w:val="004F1B8C"/>
    <w:rsid w:val="004F39F6"/>
    <w:rsid w:val="004F42CF"/>
    <w:rsid w:val="004F6749"/>
    <w:rsid w:val="00502A3B"/>
    <w:rsid w:val="00507D28"/>
    <w:rsid w:val="00515C91"/>
    <w:rsid w:val="00521711"/>
    <w:rsid w:val="005231C1"/>
    <w:rsid w:val="0052567E"/>
    <w:rsid w:val="00526FE8"/>
    <w:rsid w:val="00531111"/>
    <w:rsid w:val="00531C53"/>
    <w:rsid w:val="005358D3"/>
    <w:rsid w:val="00537192"/>
    <w:rsid w:val="005372B2"/>
    <w:rsid w:val="00540961"/>
    <w:rsid w:val="00541C3C"/>
    <w:rsid w:val="00542A80"/>
    <w:rsid w:val="005433ED"/>
    <w:rsid w:val="005517F3"/>
    <w:rsid w:val="00552681"/>
    <w:rsid w:val="00560A54"/>
    <w:rsid w:val="00564E29"/>
    <w:rsid w:val="00565A41"/>
    <w:rsid w:val="00566624"/>
    <w:rsid w:val="00566656"/>
    <w:rsid w:val="005703C8"/>
    <w:rsid w:val="005712D1"/>
    <w:rsid w:val="00571578"/>
    <w:rsid w:val="005747A5"/>
    <w:rsid w:val="00575AE4"/>
    <w:rsid w:val="005814E3"/>
    <w:rsid w:val="005821F6"/>
    <w:rsid w:val="00583611"/>
    <w:rsid w:val="00584765"/>
    <w:rsid w:val="005866CC"/>
    <w:rsid w:val="00586BD8"/>
    <w:rsid w:val="0059242A"/>
    <w:rsid w:val="005932E6"/>
    <w:rsid w:val="00595F65"/>
    <w:rsid w:val="005970DD"/>
    <w:rsid w:val="005A2E91"/>
    <w:rsid w:val="005A316F"/>
    <w:rsid w:val="005A340D"/>
    <w:rsid w:val="005A491A"/>
    <w:rsid w:val="005A4E23"/>
    <w:rsid w:val="005A5238"/>
    <w:rsid w:val="005B0760"/>
    <w:rsid w:val="005B15EC"/>
    <w:rsid w:val="005B3E50"/>
    <w:rsid w:val="005C0677"/>
    <w:rsid w:val="005C067D"/>
    <w:rsid w:val="005C226C"/>
    <w:rsid w:val="005C229B"/>
    <w:rsid w:val="005C2FB0"/>
    <w:rsid w:val="005C36AF"/>
    <w:rsid w:val="005C4298"/>
    <w:rsid w:val="005D180D"/>
    <w:rsid w:val="005D3229"/>
    <w:rsid w:val="005D4584"/>
    <w:rsid w:val="005D60C2"/>
    <w:rsid w:val="005E075F"/>
    <w:rsid w:val="005E0BFA"/>
    <w:rsid w:val="005E28DD"/>
    <w:rsid w:val="005E2B79"/>
    <w:rsid w:val="005E3088"/>
    <w:rsid w:val="005E3E89"/>
    <w:rsid w:val="005E5CC4"/>
    <w:rsid w:val="005E60AE"/>
    <w:rsid w:val="005E6503"/>
    <w:rsid w:val="005E76EC"/>
    <w:rsid w:val="005F12A3"/>
    <w:rsid w:val="005F1E36"/>
    <w:rsid w:val="005F50CA"/>
    <w:rsid w:val="005F5FD8"/>
    <w:rsid w:val="005F641E"/>
    <w:rsid w:val="005F6F26"/>
    <w:rsid w:val="00600772"/>
    <w:rsid w:val="0060634C"/>
    <w:rsid w:val="00607937"/>
    <w:rsid w:val="00611AFF"/>
    <w:rsid w:val="00611B27"/>
    <w:rsid w:val="0061399F"/>
    <w:rsid w:val="00613F01"/>
    <w:rsid w:val="00615F65"/>
    <w:rsid w:val="00616F2B"/>
    <w:rsid w:val="00620DEE"/>
    <w:rsid w:val="00622063"/>
    <w:rsid w:val="00623D39"/>
    <w:rsid w:val="006249C2"/>
    <w:rsid w:val="00624C0A"/>
    <w:rsid w:val="00630779"/>
    <w:rsid w:val="00632747"/>
    <w:rsid w:val="006354F0"/>
    <w:rsid w:val="006375AE"/>
    <w:rsid w:val="00637E4F"/>
    <w:rsid w:val="006402AF"/>
    <w:rsid w:val="006420D4"/>
    <w:rsid w:val="00642A22"/>
    <w:rsid w:val="0064464F"/>
    <w:rsid w:val="00647B5F"/>
    <w:rsid w:val="00653DAB"/>
    <w:rsid w:val="006543F0"/>
    <w:rsid w:val="00654ABC"/>
    <w:rsid w:val="00655AF8"/>
    <w:rsid w:val="00655B50"/>
    <w:rsid w:val="00656B17"/>
    <w:rsid w:val="00660DDA"/>
    <w:rsid w:val="006613F0"/>
    <w:rsid w:val="00661E87"/>
    <w:rsid w:val="00665678"/>
    <w:rsid w:val="00670662"/>
    <w:rsid w:val="00677730"/>
    <w:rsid w:val="006819F0"/>
    <w:rsid w:val="00681E4B"/>
    <w:rsid w:val="006830D3"/>
    <w:rsid w:val="00683282"/>
    <w:rsid w:val="00683E9C"/>
    <w:rsid w:val="00684F6A"/>
    <w:rsid w:val="00687378"/>
    <w:rsid w:val="00690BD4"/>
    <w:rsid w:val="00692450"/>
    <w:rsid w:val="00693625"/>
    <w:rsid w:val="00694486"/>
    <w:rsid w:val="006A1231"/>
    <w:rsid w:val="006A1623"/>
    <w:rsid w:val="006A1871"/>
    <w:rsid w:val="006A57A7"/>
    <w:rsid w:val="006A5DF8"/>
    <w:rsid w:val="006A5E31"/>
    <w:rsid w:val="006B0F4F"/>
    <w:rsid w:val="006B1E89"/>
    <w:rsid w:val="006B257F"/>
    <w:rsid w:val="006B3F73"/>
    <w:rsid w:val="006B4C38"/>
    <w:rsid w:val="006B6310"/>
    <w:rsid w:val="006B6D0B"/>
    <w:rsid w:val="006B7C59"/>
    <w:rsid w:val="006C4EB7"/>
    <w:rsid w:val="006C6A5B"/>
    <w:rsid w:val="006D04AF"/>
    <w:rsid w:val="006D137D"/>
    <w:rsid w:val="006D338D"/>
    <w:rsid w:val="006D4752"/>
    <w:rsid w:val="006D6271"/>
    <w:rsid w:val="006E37BA"/>
    <w:rsid w:val="006E3933"/>
    <w:rsid w:val="006E4700"/>
    <w:rsid w:val="006E4C60"/>
    <w:rsid w:val="006F0B44"/>
    <w:rsid w:val="006F1970"/>
    <w:rsid w:val="006F2DA7"/>
    <w:rsid w:val="006F3A19"/>
    <w:rsid w:val="00700977"/>
    <w:rsid w:val="00700ACC"/>
    <w:rsid w:val="00702A65"/>
    <w:rsid w:val="007066C9"/>
    <w:rsid w:val="00707534"/>
    <w:rsid w:val="00710F3C"/>
    <w:rsid w:val="0071262A"/>
    <w:rsid w:val="00712FBA"/>
    <w:rsid w:val="00721225"/>
    <w:rsid w:val="00722522"/>
    <w:rsid w:val="00722930"/>
    <w:rsid w:val="007260EC"/>
    <w:rsid w:val="00726865"/>
    <w:rsid w:val="00727C41"/>
    <w:rsid w:val="00727E39"/>
    <w:rsid w:val="00727F1A"/>
    <w:rsid w:val="00733A24"/>
    <w:rsid w:val="00737C5B"/>
    <w:rsid w:val="007408B3"/>
    <w:rsid w:val="00741F1A"/>
    <w:rsid w:val="00745969"/>
    <w:rsid w:val="007460CF"/>
    <w:rsid w:val="007471A8"/>
    <w:rsid w:val="00751794"/>
    <w:rsid w:val="00751D63"/>
    <w:rsid w:val="00752232"/>
    <w:rsid w:val="00754746"/>
    <w:rsid w:val="00755B0C"/>
    <w:rsid w:val="00756E56"/>
    <w:rsid w:val="00760A14"/>
    <w:rsid w:val="00761A31"/>
    <w:rsid w:val="00762EAF"/>
    <w:rsid w:val="00763302"/>
    <w:rsid w:val="00764DD5"/>
    <w:rsid w:val="00764EB1"/>
    <w:rsid w:val="00770BB5"/>
    <w:rsid w:val="00775DAE"/>
    <w:rsid w:val="00775F7E"/>
    <w:rsid w:val="00776579"/>
    <w:rsid w:val="00777318"/>
    <w:rsid w:val="00777433"/>
    <w:rsid w:val="00780013"/>
    <w:rsid w:val="007822A5"/>
    <w:rsid w:val="00782B0B"/>
    <w:rsid w:val="007855B4"/>
    <w:rsid w:val="007914B6"/>
    <w:rsid w:val="00791854"/>
    <w:rsid w:val="007926E0"/>
    <w:rsid w:val="0079288E"/>
    <w:rsid w:val="007932A0"/>
    <w:rsid w:val="007953E9"/>
    <w:rsid w:val="00796AC9"/>
    <w:rsid w:val="00796D1B"/>
    <w:rsid w:val="007A1B6D"/>
    <w:rsid w:val="007A4353"/>
    <w:rsid w:val="007A5CD7"/>
    <w:rsid w:val="007A72E2"/>
    <w:rsid w:val="007A7723"/>
    <w:rsid w:val="007B1A23"/>
    <w:rsid w:val="007B1C01"/>
    <w:rsid w:val="007B4E2B"/>
    <w:rsid w:val="007B51A1"/>
    <w:rsid w:val="007B77E8"/>
    <w:rsid w:val="007B7C59"/>
    <w:rsid w:val="007C300C"/>
    <w:rsid w:val="007C54B8"/>
    <w:rsid w:val="007C62BA"/>
    <w:rsid w:val="007C6EE8"/>
    <w:rsid w:val="007C751C"/>
    <w:rsid w:val="007C7C8C"/>
    <w:rsid w:val="007D0219"/>
    <w:rsid w:val="007D147A"/>
    <w:rsid w:val="007D1832"/>
    <w:rsid w:val="007D198A"/>
    <w:rsid w:val="007D3713"/>
    <w:rsid w:val="007D3B9A"/>
    <w:rsid w:val="007D4B5C"/>
    <w:rsid w:val="007D5BFB"/>
    <w:rsid w:val="007D745C"/>
    <w:rsid w:val="007D7E9B"/>
    <w:rsid w:val="007E00F8"/>
    <w:rsid w:val="007E3079"/>
    <w:rsid w:val="007E34C7"/>
    <w:rsid w:val="007E358E"/>
    <w:rsid w:val="007E4CCC"/>
    <w:rsid w:val="007E56D7"/>
    <w:rsid w:val="007E6DB3"/>
    <w:rsid w:val="007E6E3C"/>
    <w:rsid w:val="007F043E"/>
    <w:rsid w:val="007F2446"/>
    <w:rsid w:val="007F3947"/>
    <w:rsid w:val="007F71B0"/>
    <w:rsid w:val="007F7EB5"/>
    <w:rsid w:val="008007DF"/>
    <w:rsid w:val="00801616"/>
    <w:rsid w:val="008017A8"/>
    <w:rsid w:val="0080376C"/>
    <w:rsid w:val="00805222"/>
    <w:rsid w:val="008063EC"/>
    <w:rsid w:val="008064AB"/>
    <w:rsid w:val="00807E0B"/>
    <w:rsid w:val="00813EE0"/>
    <w:rsid w:val="008145F7"/>
    <w:rsid w:val="008146BB"/>
    <w:rsid w:val="0082161A"/>
    <w:rsid w:val="0082183B"/>
    <w:rsid w:val="0082368F"/>
    <w:rsid w:val="00825146"/>
    <w:rsid w:val="00826BD6"/>
    <w:rsid w:val="00826CD7"/>
    <w:rsid w:val="00831D29"/>
    <w:rsid w:val="008339C5"/>
    <w:rsid w:val="00836D03"/>
    <w:rsid w:val="008423F0"/>
    <w:rsid w:val="00843357"/>
    <w:rsid w:val="00843DBB"/>
    <w:rsid w:val="00845024"/>
    <w:rsid w:val="00846FCB"/>
    <w:rsid w:val="008472C0"/>
    <w:rsid w:val="0085158A"/>
    <w:rsid w:val="00852C2C"/>
    <w:rsid w:val="0085584D"/>
    <w:rsid w:val="008567BD"/>
    <w:rsid w:val="0086020A"/>
    <w:rsid w:val="00860E1B"/>
    <w:rsid w:val="008618F2"/>
    <w:rsid w:val="008637E0"/>
    <w:rsid w:val="00866C92"/>
    <w:rsid w:val="008676A2"/>
    <w:rsid w:val="0086778C"/>
    <w:rsid w:val="00870C9D"/>
    <w:rsid w:val="00873384"/>
    <w:rsid w:val="00875810"/>
    <w:rsid w:val="00876B7D"/>
    <w:rsid w:val="00880677"/>
    <w:rsid w:val="00881AF0"/>
    <w:rsid w:val="00882A52"/>
    <w:rsid w:val="00883627"/>
    <w:rsid w:val="00885605"/>
    <w:rsid w:val="008859D8"/>
    <w:rsid w:val="00885DC8"/>
    <w:rsid w:val="008918C1"/>
    <w:rsid w:val="00892431"/>
    <w:rsid w:val="008924DF"/>
    <w:rsid w:val="00894320"/>
    <w:rsid w:val="00895705"/>
    <w:rsid w:val="00896E13"/>
    <w:rsid w:val="008975DD"/>
    <w:rsid w:val="008A019B"/>
    <w:rsid w:val="008A3A87"/>
    <w:rsid w:val="008A6016"/>
    <w:rsid w:val="008B156B"/>
    <w:rsid w:val="008B606E"/>
    <w:rsid w:val="008B6EB4"/>
    <w:rsid w:val="008B7D3F"/>
    <w:rsid w:val="008C1BF0"/>
    <w:rsid w:val="008C1D6F"/>
    <w:rsid w:val="008C61A7"/>
    <w:rsid w:val="008D4070"/>
    <w:rsid w:val="008D4140"/>
    <w:rsid w:val="008D53AF"/>
    <w:rsid w:val="008D63AC"/>
    <w:rsid w:val="008D6D83"/>
    <w:rsid w:val="008E0605"/>
    <w:rsid w:val="008E3530"/>
    <w:rsid w:val="008E3537"/>
    <w:rsid w:val="008E3C88"/>
    <w:rsid w:val="008E3EB5"/>
    <w:rsid w:val="008E567C"/>
    <w:rsid w:val="008E6F9A"/>
    <w:rsid w:val="008E7685"/>
    <w:rsid w:val="008F0ABC"/>
    <w:rsid w:val="008F0E50"/>
    <w:rsid w:val="008F1F2D"/>
    <w:rsid w:val="008F2723"/>
    <w:rsid w:val="008F2A57"/>
    <w:rsid w:val="008F583E"/>
    <w:rsid w:val="009002A7"/>
    <w:rsid w:val="00901FA2"/>
    <w:rsid w:val="0090345B"/>
    <w:rsid w:val="00906256"/>
    <w:rsid w:val="00906705"/>
    <w:rsid w:val="00907B2A"/>
    <w:rsid w:val="009107E4"/>
    <w:rsid w:val="009115E9"/>
    <w:rsid w:val="00911FB2"/>
    <w:rsid w:val="009133FE"/>
    <w:rsid w:val="0091559F"/>
    <w:rsid w:val="00916798"/>
    <w:rsid w:val="009174E4"/>
    <w:rsid w:val="00920DF8"/>
    <w:rsid w:val="00925659"/>
    <w:rsid w:val="00925910"/>
    <w:rsid w:val="00927A52"/>
    <w:rsid w:val="00930466"/>
    <w:rsid w:val="00933E16"/>
    <w:rsid w:val="00933F28"/>
    <w:rsid w:val="0093664C"/>
    <w:rsid w:val="00940114"/>
    <w:rsid w:val="00943D62"/>
    <w:rsid w:val="00944FAC"/>
    <w:rsid w:val="00946987"/>
    <w:rsid w:val="00946BCD"/>
    <w:rsid w:val="00946C3F"/>
    <w:rsid w:val="00947534"/>
    <w:rsid w:val="00951AF6"/>
    <w:rsid w:val="00954274"/>
    <w:rsid w:val="009542DB"/>
    <w:rsid w:val="00954378"/>
    <w:rsid w:val="00960C40"/>
    <w:rsid w:val="00961726"/>
    <w:rsid w:val="00962678"/>
    <w:rsid w:val="00962875"/>
    <w:rsid w:val="00963C4D"/>
    <w:rsid w:val="00967B4F"/>
    <w:rsid w:val="00970854"/>
    <w:rsid w:val="009755AB"/>
    <w:rsid w:val="00976C79"/>
    <w:rsid w:val="0098116E"/>
    <w:rsid w:val="00981729"/>
    <w:rsid w:val="00981AFD"/>
    <w:rsid w:val="00983786"/>
    <w:rsid w:val="009872D1"/>
    <w:rsid w:val="00987EDE"/>
    <w:rsid w:val="00991B26"/>
    <w:rsid w:val="00992CD5"/>
    <w:rsid w:val="00995A22"/>
    <w:rsid w:val="00996B6D"/>
    <w:rsid w:val="00996F6F"/>
    <w:rsid w:val="009A17DB"/>
    <w:rsid w:val="009A25AD"/>
    <w:rsid w:val="009A50C4"/>
    <w:rsid w:val="009A6099"/>
    <w:rsid w:val="009B4441"/>
    <w:rsid w:val="009B5ECF"/>
    <w:rsid w:val="009C037F"/>
    <w:rsid w:val="009C060E"/>
    <w:rsid w:val="009C3663"/>
    <w:rsid w:val="009C41A3"/>
    <w:rsid w:val="009C480A"/>
    <w:rsid w:val="009C665A"/>
    <w:rsid w:val="009C6B97"/>
    <w:rsid w:val="009D0753"/>
    <w:rsid w:val="009D0FB3"/>
    <w:rsid w:val="009D194F"/>
    <w:rsid w:val="009D53A2"/>
    <w:rsid w:val="009E05FE"/>
    <w:rsid w:val="009E1646"/>
    <w:rsid w:val="009E1852"/>
    <w:rsid w:val="009E34D8"/>
    <w:rsid w:val="009F3147"/>
    <w:rsid w:val="009F4388"/>
    <w:rsid w:val="009F5421"/>
    <w:rsid w:val="009F5C51"/>
    <w:rsid w:val="009F5FA9"/>
    <w:rsid w:val="009F7A50"/>
    <w:rsid w:val="00A01EDB"/>
    <w:rsid w:val="00A026DA"/>
    <w:rsid w:val="00A04A2C"/>
    <w:rsid w:val="00A0733A"/>
    <w:rsid w:val="00A12F74"/>
    <w:rsid w:val="00A13DBC"/>
    <w:rsid w:val="00A14CD0"/>
    <w:rsid w:val="00A16BE6"/>
    <w:rsid w:val="00A23CB7"/>
    <w:rsid w:val="00A2474D"/>
    <w:rsid w:val="00A24BBB"/>
    <w:rsid w:val="00A3041F"/>
    <w:rsid w:val="00A31435"/>
    <w:rsid w:val="00A3270F"/>
    <w:rsid w:val="00A35195"/>
    <w:rsid w:val="00A35BD1"/>
    <w:rsid w:val="00A367C0"/>
    <w:rsid w:val="00A36E5C"/>
    <w:rsid w:val="00A3707B"/>
    <w:rsid w:val="00A37728"/>
    <w:rsid w:val="00A409BA"/>
    <w:rsid w:val="00A42432"/>
    <w:rsid w:val="00A44EBC"/>
    <w:rsid w:val="00A45FCF"/>
    <w:rsid w:val="00A4729B"/>
    <w:rsid w:val="00A47F48"/>
    <w:rsid w:val="00A51391"/>
    <w:rsid w:val="00A51D79"/>
    <w:rsid w:val="00A52133"/>
    <w:rsid w:val="00A53C43"/>
    <w:rsid w:val="00A60774"/>
    <w:rsid w:val="00A60DC7"/>
    <w:rsid w:val="00A6173E"/>
    <w:rsid w:val="00A61959"/>
    <w:rsid w:val="00A625F5"/>
    <w:rsid w:val="00A67C11"/>
    <w:rsid w:val="00A67EDD"/>
    <w:rsid w:val="00A706CF"/>
    <w:rsid w:val="00A71A5C"/>
    <w:rsid w:val="00A72F20"/>
    <w:rsid w:val="00A73B1F"/>
    <w:rsid w:val="00A74867"/>
    <w:rsid w:val="00A77353"/>
    <w:rsid w:val="00A80993"/>
    <w:rsid w:val="00A81314"/>
    <w:rsid w:val="00A824DE"/>
    <w:rsid w:val="00A82837"/>
    <w:rsid w:val="00A849B7"/>
    <w:rsid w:val="00A92B8A"/>
    <w:rsid w:val="00A93C52"/>
    <w:rsid w:val="00A93D2E"/>
    <w:rsid w:val="00A95C0D"/>
    <w:rsid w:val="00A95E6A"/>
    <w:rsid w:val="00A963FC"/>
    <w:rsid w:val="00A97FD6"/>
    <w:rsid w:val="00AA3197"/>
    <w:rsid w:val="00AA427B"/>
    <w:rsid w:val="00AA4EBB"/>
    <w:rsid w:val="00AA63A1"/>
    <w:rsid w:val="00AB07F1"/>
    <w:rsid w:val="00AB1899"/>
    <w:rsid w:val="00AB1C4D"/>
    <w:rsid w:val="00AB496C"/>
    <w:rsid w:val="00AB7A45"/>
    <w:rsid w:val="00AC6C7C"/>
    <w:rsid w:val="00AD0751"/>
    <w:rsid w:val="00AD0F6B"/>
    <w:rsid w:val="00AD1A8D"/>
    <w:rsid w:val="00AD228F"/>
    <w:rsid w:val="00AD44CB"/>
    <w:rsid w:val="00AD6B64"/>
    <w:rsid w:val="00AE1146"/>
    <w:rsid w:val="00AE117C"/>
    <w:rsid w:val="00AE5FF5"/>
    <w:rsid w:val="00AE7F0F"/>
    <w:rsid w:val="00AF1BF3"/>
    <w:rsid w:val="00AF3DDC"/>
    <w:rsid w:val="00AF486B"/>
    <w:rsid w:val="00AF798A"/>
    <w:rsid w:val="00AF7A26"/>
    <w:rsid w:val="00B00CB3"/>
    <w:rsid w:val="00B02DFE"/>
    <w:rsid w:val="00B05B98"/>
    <w:rsid w:val="00B06244"/>
    <w:rsid w:val="00B063D4"/>
    <w:rsid w:val="00B103AE"/>
    <w:rsid w:val="00B10A5C"/>
    <w:rsid w:val="00B10E39"/>
    <w:rsid w:val="00B129FC"/>
    <w:rsid w:val="00B12CC7"/>
    <w:rsid w:val="00B12DEB"/>
    <w:rsid w:val="00B169DF"/>
    <w:rsid w:val="00B200A7"/>
    <w:rsid w:val="00B215BA"/>
    <w:rsid w:val="00B2227F"/>
    <w:rsid w:val="00B225F2"/>
    <w:rsid w:val="00B2290A"/>
    <w:rsid w:val="00B25477"/>
    <w:rsid w:val="00B26D2A"/>
    <w:rsid w:val="00B30F03"/>
    <w:rsid w:val="00B32121"/>
    <w:rsid w:val="00B36733"/>
    <w:rsid w:val="00B40A55"/>
    <w:rsid w:val="00B41EF3"/>
    <w:rsid w:val="00B41FD1"/>
    <w:rsid w:val="00B4405A"/>
    <w:rsid w:val="00B454E2"/>
    <w:rsid w:val="00B468BD"/>
    <w:rsid w:val="00B51023"/>
    <w:rsid w:val="00B51229"/>
    <w:rsid w:val="00B51681"/>
    <w:rsid w:val="00B55918"/>
    <w:rsid w:val="00B5663F"/>
    <w:rsid w:val="00B6059C"/>
    <w:rsid w:val="00B609BF"/>
    <w:rsid w:val="00B60CD1"/>
    <w:rsid w:val="00B61481"/>
    <w:rsid w:val="00B6165E"/>
    <w:rsid w:val="00B61825"/>
    <w:rsid w:val="00B645B7"/>
    <w:rsid w:val="00B66E50"/>
    <w:rsid w:val="00B70FC1"/>
    <w:rsid w:val="00B72400"/>
    <w:rsid w:val="00B7264D"/>
    <w:rsid w:val="00B73E65"/>
    <w:rsid w:val="00B7522D"/>
    <w:rsid w:val="00B761DF"/>
    <w:rsid w:val="00B7624A"/>
    <w:rsid w:val="00B76D03"/>
    <w:rsid w:val="00B771D4"/>
    <w:rsid w:val="00B81990"/>
    <w:rsid w:val="00B84A4A"/>
    <w:rsid w:val="00B84BE6"/>
    <w:rsid w:val="00B854C5"/>
    <w:rsid w:val="00B8575C"/>
    <w:rsid w:val="00B85782"/>
    <w:rsid w:val="00B85ED5"/>
    <w:rsid w:val="00B8726E"/>
    <w:rsid w:val="00B920CC"/>
    <w:rsid w:val="00B9343C"/>
    <w:rsid w:val="00B93F00"/>
    <w:rsid w:val="00B95114"/>
    <w:rsid w:val="00B96C5A"/>
    <w:rsid w:val="00B96E27"/>
    <w:rsid w:val="00B975DE"/>
    <w:rsid w:val="00BA11D9"/>
    <w:rsid w:val="00BA1872"/>
    <w:rsid w:val="00BA1E11"/>
    <w:rsid w:val="00BA3708"/>
    <w:rsid w:val="00BA708D"/>
    <w:rsid w:val="00BA78EA"/>
    <w:rsid w:val="00BA7CCB"/>
    <w:rsid w:val="00BB0053"/>
    <w:rsid w:val="00BB02E7"/>
    <w:rsid w:val="00BB2EDA"/>
    <w:rsid w:val="00BC20B5"/>
    <w:rsid w:val="00BC31B3"/>
    <w:rsid w:val="00BC4E7E"/>
    <w:rsid w:val="00BD4062"/>
    <w:rsid w:val="00BE1008"/>
    <w:rsid w:val="00BE1F25"/>
    <w:rsid w:val="00BE33D4"/>
    <w:rsid w:val="00BE403D"/>
    <w:rsid w:val="00BF0AB1"/>
    <w:rsid w:val="00BF41CF"/>
    <w:rsid w:val="00BF4658"/>
    <w:rsid w:val="00BF4906"/>
    <w:rsid w:val="00BF61A4"/>
    <w:rsid w:val="00BF74CB"/>
    <w:rsid w:val="00C006C5"/>
    <w:rsid w:val="00C04AE6"/>
    <w:rsid w:val="00C05DDC"/>
    <w:rsid w:val="00C12DB9"/>
    <w:rsid w:val="00C14124"/>
    <w:rsid w:val="00C1670B"/>
    <w:rsid w:val="00C16B2C"/>
    <w:rsid w:val="00C20365"/>
    <w:rsid w:val="00C20A9B"/>
    <w:rsid w:val="00C22C21"/>
    <w:rsid w:val="00C24C47"/>
    <w:rsid w:val="00C25290"/>
    <w:rsid w:val="00C2619B"/>
    <w:rsid w:val="00C27EC1"/>
    <w:rsid w:val="00C31736"/>
    <w:rsid w:val="00C32EC0"/>
    <w:rsid w:val="00C33531"/>
    <w:rsid w:val="00C35070"/>
    <w:rsid w:val="00C35883"/>
    <w:rsid w:val="00C371B5"/>
    <w:rsid w:val="00C42227"/>
    <w:rsid w:val="00C45757"/>
    <w:rsid w:val="00C502D5"/>
    <w:rsid w:val="00C51BF2"/>
    <w:rsid w:val="00C54808"/>
    <w:rsid w:val="00C55FA4"/>
    <w:rsid w:val="00C56040"/>
    <w:rsid w:val="00C5795B"/>
    <w:rsid w:val="00C651D1"/>
    <w:rsid w:val="00C6596E"/>
    <w:rsid w:val="00C65D05"/>
    <w:rsid w:val="00C67A00"/>
    <w:rsid w:val="00C727F1"/>
    <w:rsid w:val="00C73C3B"/>
    <w:rsid w:val="00C746E9"/>
    <w:rsid w:val="00C76065"/>
    <w:rsid w:val="00C760C0"/>
    <w:rsid w:val="00C77E05"/>
    <w:rsid w:val="00C81AC1"/>
    <w:rsid w:val="00C8409F"/>
    <w:rsid w:val="00C844DD"/>
    <w:rsid w:val="00C936BB"/>
    <w:rsid w:val="00C94266"/>
    <w:rsid w:val="00C94574"/>
    <w:rsid w:val="00C954A9"/>
    <w:rsid w:val="00C95CAB"/>
    <w:rsid w:val="00C96087"/>
    <w:rsid w:val="00C96B58"/>
    <w:rsid w:val="00C96C66"/>
    <w:rsid w:val="00C97BAB"/>
    <w:rsid w:val="00CA0366"/>
    <w:rsid w:val="00CA0452"/>
    <w:rsid w:val="00CA2329"/>
    <w:rsid w:val="00CA2E51"/>
    <w:rsid w:val="00CA3594"/>
    <w:rsid w:val="00CA603B"/>
    <w:rsid w:val="00CB062C"/>
    <w:rsid w:val="00CB212E"/>
    <w:rsid w:val="00CB3CF1"/>
    <w:rsid w:val="00CB41B5"/>
    <w:rsid w:val="00CB4C04"/>
    <w:rsid w:val="00CB50B0"/>
    <w:rsid w:val="00CB54EB"/>
    <w:rsid w:val="00CB5FEC"/>
    <w:rsid w:val="00CB6EEA"/>
    <w:rsid w:val="00CC0054"/>
    <w:rsid w:val="00CC1C18"/>
    <w:rsid w:val="00CC1C45"/>
    <w:rsid w:val="00CC44AE"/>
    <w:rsid w:val="00CC550A"/>
    <w:rsid w:val="00CC5DF3"/>
    <w:rsid w:val="00CC7551"/>
    <w:rsid w:val="00CD090F"/>
    <w:rsid w:val="00CD0C63"/>
    <w:rsid w:val="00CD2EA2"/>
    <w:rsid w:val="00CD425D"/>
    <w:rsid w:val="00CD6C1B"/>
    <w:rsid w:val="00CE0B24"/>
    <w:rsid w:val="00CE2C98"/>
    <w:rsid w:val="00CE40A5"/>
    <w:rsid w:val="00CE54BB"/>
    <w:rsid w:val="00CE599B"/>
    <w:rsid w:val="00CE7A64"/>
    <w:rsid w:val="00CF0884"/>
    <w:rsid w:val="00CF2302"/>
    <w:rsid w:val="00CF25E8"/>
    <w:rsid w:val="00CF472C"/>
    <w:rsid w:val="00CF489B"/>
    <w:rsid w:val="00CF731F"/>
    <w:rsid w:val="00D00336"/>
    <w:rsid w:val="00D004BE"/>
    <w:rsid w:val="00D005C5"/>
    <w:rsid w:val="00D010FE"/>
    <w:rsid w:val="00D02C8B"/>
    <w:rsid w:val="00D0385E"/>
    <w:rsid w:val="00D07D83"/>
    <w:rsid w:val="00D10FE5"/>
    <w:rsid w:val="00D11372"/>
    <w:rsid w:val="00D12D55"/>
    <w:rsid w:val="00D12F1E"/>
    <w:rsid w:val="00D130A9"/>
    <w:rsid w:val="00D1457D"/>
    <w:rsid w:val="00D1761A"/>
    <w:rsid w:val="00D20770"/>
    <w:rsid w:val="00D21DF1"/>
    <w:rsid w:val="00D22274"/>
    <w:rsid w:val="00D230FA"/>
    <w:rsid w:val="00D243AE"/>
    <w:rsid w:val="00D272B5"/>
    <w:rsid w:val="00D30231"/>
    <w:rsid w:val="00D308FA"/>
    <w:rsid w:val="00D3210D"/>
    <w:rsid w:val="00D3337A"/>
    <w:rsid w:val="00D35086"/>
    <w:rsid w:val="00D353B5"/>
    <w:rsid w:val="00D356DD"/>
    <w:rsid w:val="00D367DD"/>
    <w:rsid w:val="00D36E84"/>
    <w:rsid w:val="00D40035"/>
    <w:rsid w:val="00D40FCB"/>
    <w:rsid w:val="00D42146"/>
    <w:rsid w:val="00D4286A"/>
    <w:rsid w:val="00D42893"/>
    <w:rsid w:val="00D50700"/>
    <w:rsid w:val="00D51305"/>
    <w:rsid w:val="00D64E22"/>
    <w:rsid w:val="00D6526A"/>
    <w:rsid w:val="00D666DA"/>
    <w:rsid w:val="00D731FF"/>
    <w:rsid w:val="00D77C74"/>
    <w:rsid w:val="00D77CA7"/>
    <w:rsid w:val="00D80892"/>
    <w:rsid w:val="00D836A4"/>
    <w:rsid w:val="00D84D83"/>
    <w:rsid w:val="00D86324"/>
    <w:rsid w:val="00D86FBB"/>
    <w:rsid w:val="00D91A03"/>
    <w:rsid w:val="00D925B4"/>
    <w:rsid w:val="00D92878"/>
    <w:rsid w:val="00D93650"/>
    <w:rsid w:val="00D941AB"/>
    <w:rsid w:val="00D94524"/>
    <w:rsid w:val="00D949D6"/>
    <w:rsid w:val="00D94C78"/>
    <w:rsid w:val="00D969A2"/>
    <w:rsid w:val="00DA04D2"/>
    <w:rsid w:val="00DA1680"/>
    <w:rsid w:val="00DA4FE8"/>
    <w:rsid w:val="00DA5475"/>
    <w:rsid w:val="00DA5CEE"/>
    <w:rsid w:val="00DA7B90"/>
    <w:rsid w:val="00DB00CF"/>
    <w:rsid w:val="00DB27C4"/>
    <w:rsid w:val="00DB3B95"/>
    <w:rsid w:val="00DB524F"/>
    <w:rsid w:val="00DB6503"/>
    <w:rsid w:val="00DB6736"/>
    <w:rsid w:val="00DC0290"/>
    <w:rsid w:val="00DC1400"/>
    <w:rsid w:val="00DC19A8"/>
    <w:rsid w:val="00DC3C63"/>
    <w:rsid w:val="00DC6CDF"/>
    <w:rsid w:val="00DC6FF1"/>
    <w:rsid w:val="00DC7809"/>
    <w:rsid w:val="00DD08FD"/>
    <w:rsid w:val="00DD2341"/>
    <w:rsid w:val="00DD3E9B"/>
    <w:rsid w:val="00DD517A"/>
    <w:rsid w:val="00DD58D7"/>
    <w:rsid w:val="00DE3769"/>
    <w:rsid w:val="00DE4CA8"/>
    <w:rsid w:val="00DE57C4"/>
    <w:rsid w:val="00DE639D"/>
    <w:rsid w:val="00DE77D9"/>
    <w:rsid w:val="00DF1342"/>
    <w:rsid w:val="00DF1CBE"/>
    <w:rsid w:val="00DF47BA"/>
    <w:rsid w:val="00E0056C"/>
    <w:rsid w:val="00E018F5"/>
    <w:rsid w:val="00E0352C"/>
    <w:rsid w:val="00E05008"/>
    <w:rsid w:val="00E05367"/>
    <w:rsid w:val="00E05849"/>
    <w:rsid w:val="00E05EDE"/>
    <w:rsid w:val="00E067E0"/>
    <w:rsid w:val="00E11DAB"/>
    <w:rsid w:val="00E14ED2"/>
    <w:rsid w:val="00E203F6"/>
    <w:rsid w:val="00E22CE6"/>
    <w:rsid w:val="00E30AF0"/>
    <w:rsid w:val="00E30D4C"/>
    <w:rsid w:val="00E328CB"/>
    <w:rsid w:val="00E33FBC"/>
    <w:rsid w:val="00E34950"/>
    <w:rsid w:val="00E34A45"/>
    <w:rsid w:val="00E35688"/>
    <w:rsid w:val="00E368B6"/>
    <w:rsid w:val="00E422C8"/>
    <w:rsid w:val="00E4231D"/>
    <w:rsid w:val="00E44457"/>
    <w:rsid w:val="00E44BBB"/>
    <w:rsid w:val="00E46742"/>
    <w:rsid w:val="00E47676"/>
    <w:rsid w:val="00E502B5"/>
    <w:rsid w:val="00E50780"/>
    <w:rsid w:val="00E517A2"/>
    <w:rsid w:val="00E5268F"/>
    <w:rsid w:val="00E530C0"/>
    <w:rsid w:val="00E57396"/>
    <w:rsid w:val="00E6173E"/>
    <w:rsid w:val="00E61745"/>
    <w:rsid w:val="00E61859"/>
    <w:rsid w:val="00E6236E"/>
    <w:rsid w:val="00E645D1"/>
    <w:rsid w:val="00E65C60"/>
    <w:rsid w:val="00E66762"/>
    <w:rsid w:val="00E67F87"/>
    <w:rsid w:val="00E7071C"/>
    <w:rsid w:val="00E73806"/>
    <w:rsid w:val="00E7425D"/>
    <w:rsid w:val="00E756CE"/>
    <w:rsid w:val="00E757F1"/>
    <w:rsid w:val="00E80133"/>
    <w:rsid w:val="00E80495"/>
    <w:rsid w:val="00E8126B"/>
    <w:rsid w:val="00E834E5"/>
    <w:rsid w:val="00E914D9"/>
    <w:rsid w:val="00E9356D"/>
    <w:rsid w:val="00E95110"/>
    <w:rsid w:val="00E953FD"/>
    <w:rsid w:val="00E96963"/>
    <w:rsid w:val="00EA1765"/>
    <w:rsid w:val="00EA264B"/>
    <w:rsid w:val="00EA280B"/>
    <w:rsid w:val="00EA367A"/>
    <w:rsid w:val="00EA3FF3"/>
    <w:rsid w:val="00EA5602"/>
    <w:rsid w:val="00EA79D4"/>
    <w:rsid w:val="00EB118F"/>
    <w:rsid w:val="00EB142C"/>
    <w:rsid w:val="00EB1D74"/>
    <w:rsid w:val="00EB4FC3"/>
    <w:rsid w:val="00EB7978"/>
    <w:rsid w:val="00EC19F6"/>
    <w:rsid w:val="00EC71C1"/>
    <w:rsid w:val="00ED00BB"/>
    <w:rsid w:val="00ED22A9"/>
    <w:rsid w:val="00ED330C"/>
    <w:rsid w:val="00ED4EA6"/>
    <w:rsid w:val="00ED5E8A"/>
    <w:rsid w:val="00ED713A"/>
    <w:rsid w:val="00ED79C5"/>
    <w:rsid w:val="00EE5B89"/>
    <w:rsid w:val="00EE5D40"/>
    <w:rsid w:val="00EE752F"/>
    <w:rsid w:val="00EE7F8B"/>
    <w:rsid w:val="00EF02FA"/>
    <w:rsid w:val="00EF08B1"/>
    <w:rsid w:val="00EF3509"/>
    <w:rsid w:val="00EF66A2"/>
    <w:rsid w:val="00EF6A28"/>
    <w:rsid w:val="00EF764C"/>
    <w:rsid w:val="00F029BC"/>
    <w:rsid w:val="00F04669"/>
    <w:rsid w:val="00F046DB"/>
    <w:rsid w:val="00F05265"/>
    <w:rsid w:val="00F05628"/>
    <w:rsid w:val="00F11D2E"/>
    <w:rsid w:val="00F12C4C"/>
    <w:rsid w:val="00F14C6E"/>
    <w:rsid w:val="00F16949"/>
    <w:rsid w:val="00F17555"/>
    <w:rsid w:val="00F2611F"/>
    <w:rsid w:val="00F26C3B"/>
    <w:rsid w:val="00F36E01"/>
    <w:rsid w:val="00F37B99"/>
    <w:rsid w:val="00F412C2"/>
    <w:rsid w:val="00F45ADB"/>
    <w:rsid w:val="00F503C6"/>
    <w:rsid w:val="00F51B2F"/>
    <w:rsid w:val="00F54740"/>
    <w:rsid w:val="00F55006"/>
    <w:rsid w:val="00F6194A"/>
    <w:rsid w:val="00F621BF"/>
    <w:rsid w:val="00F62E1D"/>
    <w:rsid w:val="00F64ED0"/>
    <w:rsid w:val="00F66519"/>
    <w:rsid w:val="00F7154C"/>
    <w:rsid w:val="00F71D94"/>
    <w:rsid w:val="00F71FA8"/>
    <w:rsid w:val="00F728A6"/>
    <w:rsid w:val="00F74085"/>
    <w:rsid w:val="00F765CE"/>
    <w:rsid w:val="00F8426B"/>
    <w:rsid w:val="00F85033"/>
    <w:rsid w:val="00F87A41"/>
    <w:rsid w:val="00F901EF"/>
    <w:rsid w:val="00F925D1"/>
    <w:rsid w:val="00F93FD9"/>
    <w:rsid w:val="00F956D3"/>
    <w:rsid w:val="00F97518"/>
    <w:rsid w:val="00FA0360"/>
    <w:rsid w:val="00FA08DB"/>
    <w:rsid w:val="00FA155C"/>
    <w:rsid w:val="00FA17B8"/>
    <w:rsid w:val="00FA1F47"/>
    <w:rsid w:val="00FA2612"/>
    <w:rsid w:val="00FA4861"/>
    <w:rsid w:val="00FA779C"/>
    <w:rsid w:val="00FA796D"/>
    <w:rsid w:val="00FB0111"/>
    <w:rsid w:val="00FB0E04"/>
    <w:rsid w:val="00FB325F"/>
    <w:rsid w:val="00FB3733"/>
    <w:rsid w:val="00FB6394"/>
    <w:rsid w:val="00FB6A5B"/>
    <w:rsid w:val="00FB7769"/>
    <w:rsid w:val="00FC0A31"/>
    <w:rsid w:val="00FC0DDB"/>
    <w:rsid w:val="00FC26F5"/>
    <w:rsid w:val="00FC49EB"/>
    <w:rsid w:val="00FC5739"/>
    <w:rsid w:val="00FC5DCB"/>
    <w:rsid w:val="00FC7B74"/>
    <w:rsid w:val="00FD1678"/>
    <w:rsid w:val="00FD2059"/>
    <w:rsid w:val="00FD534D"/>
    <w:rsid w:val="00FD6696"/>
    <w:rsid w:val="00FE1CE6"/>
    <w:rsid w:val="00FE215D"/>
    <w:rsid w:val="00FE2D53"/>
    <w:rsid w:val="00FE5647"/>
    <w:rsid w:val="00FE61A7"/>
    <w:rsid w:val="00FE7F96"/>
    <w:rsid w:val="00FF3065"/>
    <w:rsid w:val="00FF534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A89E"/>
  <w15:docId w15:val="{7CC67978-D7DD-4B47-9063-2E0DC9E8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990"/>
    <w:pPr>
      <w:spacing w:after="200" w:line="276" w:lineRule="auto"/>
    </w:pPr>
    <w:rPr>
      <w:sz w:val="22"/>
      <w:szCs w:val="22"/>
      <w:lang w:val="en-IN"/>
    </w:rPr>
  </w:style>
  <w:style w:type="paragraph" w:styleId="Heading4">
    <w:name w:val="heading 4"/>
    <w:basedOn w:val="Normal"/>
    <w:link w:val="Heading4Char"/>
    <w:uiPriority w:val="9"/>
    <w:qFormat/>
    <w:rsid w:val="00777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1990"/>
  </w:style>
  <w:style w:type="paragraph" w:styleId="FootnoteText">
    <w:name w:val="footnote text"/>
    <w:basedOn w:val="Normal"/>
    <w:link w:val="FootnoteTextChar"/>
    <w:uiPriority w:val="99"/>
    <w:unhideWhenUsed/>
    <w:rsid w:val="00B81990"/>
  </w:style>
  <w:style w:type="character" w:customStyle="1" w:styleId="FootnoteTextChar">
    <w:name w:val="Footnote Text Char"/>
    <w:basedOn w:val="DefaultParagraphFont"/>
    <w:link w:val="FootnoteText"/>
    <w:uiPriority w:val="99"/>
    <w:rsid w:val="00B81990"/>
  </w:style>
  <w:style w:type="character" w:styleId="FootnoteReference">
    <w:name w:val="footnote reference"/>
    <w:basedOn w:val="DefaultParagraphFont"/>
    <w:uiPriority w:val="99"/>
    <w:unhideWhenUsed/>
    <w:rsid w:val="00B819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19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990"/>
  </w:style>
  <w:style w:type="paragraph" w:styleId="Footer">
    <w:name w:val="footer"/>
    <w:basedOn w:val="Normal"/>
    <w:link w:val="FooterChar"/>
    <w:uiPriority w:val="99"/>
    <w:unhideWhenUsed/>
    <w:rsid w:val="00B819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990"/>
  </w:style>
  <w:style w:type="paragraph" w:styleId="BalloonText">
    <w:name w:val="Balloon Text"/>
    <w:basedOn w:val="Normal"/>
    <w:link w:val="BalloonTextChar"/>
    <w:uiPriority w:val="99"/>
    <w:semiHidden/>
    <w:unhideWhenUsed/>
    <w:rsid w:val="00B9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5A"/>
    <w:rPr>
      <w:rFonts w:ascii="Tahoma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99"/>
    <w:rsid w:val="00B9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77433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777433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rsid w:val="009F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9F542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</w:rPr>
  </w:style>
  <w:style w:type="character" w:customStyle="1" w:styleId="il">
    <w:name w:val="il"/>
    <w:basedOn w:val="DefaultParagraphFont"/>
    <w:rsid w:val="00433F9F"/>
  </w:style>
  <w:style w:type="character" w:styleId="CommentReference">
    <w:name w:val="annotation reference"/>
    <w:basedOn w:val="DefaultParagraphFont"/>
    <w:uiPriority w:val="99"/>
    <w:semiHidden/>
    <w:unhideWhenUsed/>
    <w:rsid w:val="00EB1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74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74"/>
    <w:rPr>
      <w:b/>
      <w:bCs/>
      <w:sz w:val="20"/>
      <w:szCs w:val="20"/>
      <w:lang w:val="en-IN"/>
    </w:rPr>
  </w:style>
  <w:style w:type="paragraph" w:styleId="Revision">
    <w:name w:val="Revision"/>
    <w:hidden/>
    <w:uiPriority w:val="99"/>
    <w:semiHidden/>
    <w:rsid w:val="001364E8"/>
    <w:rPr>
      <w:sz w:val="22"/>
      <w:szCs w:val="22"/>
      <w:lang w:val="en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64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64E8"/>
    <w:rPr>
      <w:sz w:val="20"/>
      <w:szCs w:val="20"/>
      <w:lang w:val="en-IN"/>
    </w:rPr>
  </w:style>
  <w:style w:type="character" w:styleId="EndnoteReference">
    <w:name w:val="endnote reference"/>
    <w:basedOn w:val="DefaultParagraphFont"/>
    <w:uiPriority w:val="99"/>
    <w:semiHidden/>
    <w:unhideWhenUsed/>
    <w:rsid w:val="00136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Abhiman\BIES\Estimation%20January%20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Abhiman\BIES\Estimation%20February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bhiman\BIES\Results%20February%20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bhiman\BIES\Results%20February%20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bhiman\BIES\Results%20February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86333348218048"/>
          <c:y val="6.9444444444444448E-2"/>
          <c:w val="0.8306922882276766"/>
          <c:h val="0.74490740740740746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C00000"/>
              </a:solidFill>
            </a:ln>
          </c:spPr>
          <c:marker>
            <c:symbol val="none"/>
          </c:marker>
          <c:trendline>
            <c:spPr>
              <a:ln w="15875">
                <a:solidFill>
                  <a:srgbClr val="002060"/>
                </a:solidFill>
              </a:ln>
            </c:spPr>
            <c:trendlineType val="linear"/>
            <c:dispRSqr val="0"/>
            <c:dispEq val="0"/>
          </c:trendline>
          <c:cat>
            <c:numRef>
              <c:f>Sheet1!$D$26:$D$83</c:f>
              <c:numCache>
                <c:formatCode>mmm\-yy</c:formatCode>
                <c:ptCount val="58"/>
                <c:pt idx="0">
                  <c:v>42856</c:v>
                </c:pt>
                <c:pt idx="1">
                  <c:v>42887</c:v>
                </c:pt>
                <c:pt idx="2">
                  <c:v>42917</c:v>
                </c:pt>
                <c:pt idx="3">
                  <c:v>42948</c:v>
                </c:pt>
                <c:pt idx="4">
                  <c:v>42979</c:v>
                </c:pt>
                <c:pt idx="5">
                  <c:v>43009</c:v>
                </c:pt>
                <c:pt idx="6">
                  <c:v>43040</c:v>
                </c:pt>
                <c:pt idx="7">
                  <c:v>43070</c:v>
                </c:pt>
                <c:pt idx="8">
                  <c:v>43101</c:v>
                </c:pt>
                <c:pt idx="9">
                  <c:v>43132</c:v>
                </c:pt>
                <c:pt idx="10">
                  <c:v>43160</c:v>
                </c:pt>
                <c:pt idx="11">
                  <c:v>43191</c:v>
                </c:pt>
                <c:pt idx="12">
                  <c:v>43221</c:v>
                </c:pt>
                <c:pt idx="13">
                  <c:v>43252</c:v>
                </c:pt>
                <c:pt idx="14">
                  <c:v>43282</c:v>
                </c:pt>
                <c:pt idx="15">
                  <c:v>43313</c:v>
                </c:pt>
                <c:pt idx="16">
                  <c:v>43344</c:v>
                </c:pt>
                <c:pt idx="17">
                  <c:v>43374</c:v>
                </c:pt>
                <c:pt idx="18">
                  <c:v>43405</c:v>
                </c:pt>
                <c:pt idx="19">
                  <c:v>43435</c:v>
                </c:pt>
                <c:pt idx="20">
                  <c:v>43466</c:v>
                </c:pt>
                <c:pt idx="21">
                  <c:v>43497</c:v>
                </c:pt>
                <c:pt idx="22">
                  <c:v>43525</c:v>
                </c:pt>
                <c:pt idx="23">
                  <c:v>43556</c:v>
                </c:pt>
                <c:pt idx="24">
                  <c:v>43586</c:v>
                </c:pt>
                <c:pt idx="25">
                  <c:v>43617</c:v>
                </c:pt>
                <c:pt idx="26">
                  <c:v>43647</c:v>
                </c:pt>
                <c:pt idx="27">
                  <c:v>43678</c:v>
                </c:pt>
                <c:pt idx="28">
                  <c:v>43709</c:v>
                </c:pt>
                <c:pt idx="29">
                  <c:v>43739</c:v>
                </c:pt>
                <c:pt idx="30">
                  <c:v>43770</c:v>
                </c:pt>
                <c:pt idx="31">
                  <c:v>43800</c:v>
                </c:pt>
                <c:pt idx="32">
                  <c:v>43831</c:v>
                </c:pt>
                <c:pt idx="33">
                  <c:v>43862</c:v>
                </c:pt>
                <c:pt idx="34">
                  <c:v>43891</c:v>
                </c:pt>
                <c:pt idx="35">
                  <c:v>43922</c:v>
                </c:pt>
                <c:pt idx="36">
                  <c:v>43952</c:v>
                </c:pt>
                <c:pt idx="37">
                  <c:v>43983</c:v>
                </c:pt>
                <c:pt idx="38">
                  <c:v>44013</c:v>
                </c:pt>
                <c:pt idx="39">
                  <c:v>44044</c:v>
                </c:pt>
                <c:pt idx="40">
                  <c:v>44075</c:v>
                </c:pt>
                <c:pt idx="41">
                  <c:v>44105</c:v>
                </c:pt>
                <c:pt idx="42">
                  <c:v>44136</c:v>
                </c:pt>
                <c:pt idx="43">
                  <c:v>44166</c:v>
                </c:pt>
                <c:pt idx="44">
                  <c:v>44197</c:v>
                </c:pt>
                <c:pt idx="45">
                  <c:v>44228</c:v>
                </c:pt>
                <c:pt idx="46">
                  <c:v>44256</c:v>
                </c:pt>
                <c:pt idx="47">
                  <c:v>44287</c:v>
                </c:pt>
                <c:pt idx="48">
                  <c:v>44317</c:v>
                </c:pt>
                <c:pt idx="49">
                  <c:v>44348</c:v>
                </c:pt>
                <c:pt idx="50">
                  <c:v>44378</c:v>
                </c:pt>
                <c:pt idx="51">
                  <c:v>44409</c:v>
                </c:pt>
                <c:pt idx="52">
                  <c:v>44440</c:v>
                </c:pt>
                <c:pt idx="53">
                  <c:v>44470</c:v>
                </c:pt>
                <c:pt idx="54">
                  <c:v>44501</c:v>
                </c:pt>
                <c:pt idx="55">
                  <c:v>44531</c:v>
                </c:pt>
                <c:pt idx="56">
                  <c:v>44562</c:v>
                </c:pt>
                <c:pt idx="57">
                  <c:v>44593</c:v>
                </c:pt>
              </c:numCache>
            </c:numRef>
          </c:cat>
          <c:val>
            <c:numRef>
              <c:f>Sheet1!$E$26:$E$83</c:f>
              <c:numCache>
                <c:formatCode>0.00</c:formatCode>
                <c:ptCount val="58"/>
                <c:pt idx="0">
                  <c:v>3.03</c:v>
                </c:pt>
                <c:pt idx="1">
                  <c:v>3.04</c:v>
                </c:pt>
                <c:pt idx="2">
                  <c:v>2.86</c:v>
                </c:pt>
                <c:pt idx="3">
                  <c:v>3.5</c:v>
                </c:pt>
                <c:pt idx="4">
                  <c:v>3.37</c:v>
                </c:pt>
                <c:pt idx="5">
                  <c:v>3.08</c:v>
                </c:pt>
                <c:pt idx="6">
                  <c:v>3.12</c:v>
                </c:pt>
                <c:pt idx="7">
                  <c:v>3.52</c:v>
                </c:pt>
                <c:pt idx="8">
                  <c:v>3.79</c:v>
                </c:pt>
                <c:pt idx="9">
                  <c:v>3.85</c:v>
                </c:pt>
                <c:pt idx="10">
                  <c:v>3.73</c:v>
                </c:pt>
                <c:pt idx="11">
                  <c:v>4.2062499999999998</c:v>
                </c:pt>
                <c:pt idx="12">
                  <c:v>4.0742499999999993</c:v>
                </c:pt>
                <c:pt idx="13">
                  <c:v>3.1265000000000001</c:v>
                </c:pt>
                <c:pt idx="14">
                  <c:v>3.8194000000000004</c:v>
                </c:pt>
                <c:pt idx="15">
                  <c:v>4.5054499999999997</c:v>
                </c:pt>
                <c:pt idx="16">
                  <c:v>4.4987205882352939</c:v>
                </c:pt>
                <c:pt idx="17">
                  <c:v>3.6622500000000002</c:v>
                </c:pt>
                <c:pt idx="18">
                  <c:v>3.8595500000000005</c:v>
                </c:pt>
                <c:pt idx="19">
                  <c:v>3.2946500000000007</c:v>
                </c:pt>
                <c:pt idx="20">
                  <c:v>3.0993499999999998</c:v>
                </c:pt>
                <c:pt idx="21">
                  <c:v>3.5462500000000001</c:v>
                </c:pt>
                <c:pt idx="22">
                  <c:v>3.6808499999999995</c:v>
                </c:pt>
                <c:pt idx="23">
                  <c:v>3.4775499999999995</c:v>
                </c:pt>
                <c:pt idx="24">
                  <c:v>3.6692999999999998</c:v>
                </c:pt>
                <c:pt idx="25">
                  <c:v>3.4401000000000002</c:v>
                </c:pt>
                <c:pt idx="26">
                  <c:v>3.6986000000000003</c:v>
                </c:pt>
                <c:pt idx="27">
                  <c:v>3.1429499999999999</c:v>
                </c:pt>
                <c:pt idx="28">
                  <c:v>3.1379999999999999</c:v>
                </c:pt>
                <c:pt idx="29">
                  <c:v>3.2011500000000002</c:v>
                </c:pt>
                <c:pt idx="30">
                  <c:v>3.5266000000000002</c:v>
                </c:pt>
                <c:pt idx="31">
                  <c:v>3.4735499999999999</c:v>
                </c:pt>
                <c:pt idx="32">
                  <c:v>3.6183000000000005</c:v>
                </c:pt>
                <c:pt idx="33">
                  <c:v>3.8548499999999999</c:v>
                </c:pt>
                <c:pt idx="34">
                  <c:v>4.5679499999999997</c:v>
                </c:pt>
                <c:pt idx="35">
                  <c:v>4.3667999999999996</c:v>
                </c:pt>
                <c:pt idx="36">
                  <c:v>4.2384499999999994</c:v>
                </c:pt>
                <c:pt idx="37">
                  <c:v>4.1213499999999996</c:v>
                </c:pt>
                <c:pt idx="38">
                  <c:v>3.6980500000000003</c:v>
                </c:pt>
                <c:pt idx="39">
                  <c:v>3.7709999999999999</c:v>
                </c:pt>
                <c:pt idx="40">
                  <c:v>3.486680392156865</c:v>
                </c:pt>
                <c:pt idx="41">
                  <c:v>3.7791999999999999</c:v>
                </c:pt>
                <c:pt idx="42">
                  <c:v>4.2848241206030151</c:v>
                </c:pt>
                <c:pt idx="43">
                  <c:v>4.4293224299065388</c:v>
                </c:pt>
                <c:pt idx="44">
                  <c:v>4.6900000000000004</c:v>
                </c:pt>
                <c:pt idx="45">
                  <c:v>5.0652923976608157</c:v>
                </c:pt>
                <c:pt idx="46">
                  <c:v>4.743228571428574</c:v>
                </c:pt>
                <c:pt idx="47">
                  <c:v>5.1997</c:v>
                </c:pt>
                <c:pt idx="48">
                  <c:v>5.4325977653631314</c:v>
                </c:pt>
                <c:pt idx="49">
                  <c:v>5.2653273809523808</c:v>
                </c:pt>
                <c:pt idx="50">
                  <c:v>5.5871500000000003</c:v>
                </c:pt>
                <c:pt idx="51">
                  <c:v>5.2183999999999999</c:v>
                </c:pt>
                <c:pt idx="52" formatCode="General">
                  <c:v>5.75</c:v>
                </c:pt>
                <c:pt idx="53">
                  <c:v>5.4685499999999996</c:v>
                </c:pt>
                <c:pt idx="54">
                  <c:v>5.2962640449438165</c:v>
                </c:pt>
                <c:pt idx="55">
                  <c:v>5.449820370370368</c:v>
                </c:pt>
                <c:pt idx="56">
                  <c:v>5.9386000000000001</c:v>
                </c:pt>
                <c:pt idx="57">
                  <c:v>6.0882317073170711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44C-41E6-877C-395459EF8AA9}"/>
            </c:ext>
          </c:extLst>
        </c:ser>
        <c:ser>
          <c:idx val="2"/>
          <c:order val="1"/>
          <c:spPr>
            <a:ln w="31750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numRef>
              <c:f>Sheet1!$D$26:$D$83</c:f>
              <c:numCache>
                <c:formatCode>mmm\-yy</c:formatCode>
                <c:ptCount val="58"/>
                <c:pt idx="0">
                  <c:v>42856</c:v>
                </c:pt>
                <c:pt idx="1">
                  <c:v>42887</c:v>
                </c:pt>
                <c:pt idx="2">
                  <c:v>42917</c:v>
                </c:pt>
                <c:pt idx="3">
                  <c:v>42948</c:v>
                </c:pt>
                <c:pt idx="4">
                  <c:v>42979</c:v>
                </c:pt>
                <c:pt idx="5">
                  <c:v>43009</c:v>
                </c:pt>
                <c:pt idx="6">
                  <c:v>43040</c:v>
                </c:pt>
                <c:pt idx="7">
                  <c:v>43070</c:v>
                </c:pt>
                <c:pt idx="8">
                  <c:v>43101</c:v>
                </c:pt>
                <c:pt idx="9">
                  <c:v>43132</c:v>
                </c:pt>
                <c:pt idx="10">
                  <c:v>43160</c:v>
                </c:pt>
                <c:pt idx="11">
                  <c:v>43191</c:v>
                </c:pt>
                <c:pt idx="12">
                  <c:v>43221</c:v>
                </c:pt>
                <c:pt idx="13">
                  <c:v>43252</c:v>
                </c:pt>
                <c:pt idx="14">
                  <c:v>43282</c:v>
                </c:pt>
                <c:pt idx="15">
                  <c:v>43313</c:v>
                </c:pt>
                <c:pt idx="16">
                  <c:v>43344</c:v>
                </c:pt>
                <c:pt idx="17">
                  <c:v>43374</c:v>
                </c:pt>
                <c:pt idx="18">
                  <c:v>43405</c:v>
                </c:pt>
                <c:pt idx="19">
                  <c:v>43435</c:v>
                </c:pt>
                <c:pt idx="20">
                  <c:v>43466</c:v>
                </c:pt>
                <c:pt idx="21">
                  <c:v>43497</c:v>
                </c:pt>
                <c:pt idx="22">
                  <c:v>43525</c:v>
                </c:pt>
                <c:pt idx="23">
                  <c:v>43556</c:v>
                </c:pt>
                <c:pt idx="24">
                  <c:v>43586</c:v>
                </c:pt>
                <c:pt idx="25">
                  <c:v>43617</c:v>
                </c:pt>
                <c:pt idx="26">
                  <c:v>43647</c:v>
                </c:pt>
                <c:pt idx="27">
                  <c:v>43678</c:v>
                </c:pt>
                <c:pt idx="28">
                  <c:v>43709</c:v>
                </c:pt>
                <c:pt idx="29">
                  <c:v>43739</c:v>
                </c:pt>
                <c:pt idx="30">
                  <c:v>43770</c:v>
                </c:pt>
                <c:pt idx="31">
                  <c:v>43800</c:v>
                </c:pt>
                <c:pt idx="32">
                  <c:v>43831</c:v>
                </c:pt>
                <c:pt idx="33">
                  <c:v>43862</c:v>
                </c:pt>
                <c:pt idx="34">
                  <c:v>43891</c:v>
                </c:pt>
                <c:pt idx="35">
                  <c:v>43922</c:v>
                </c:pt>
                <c:pt idx="36">
                  <c:v>43952</c:v>
                </c:pt>
                <c:pt idx="37">
                  <c:v>43983</c:v>
                </c:pt>
                <c:pt idx="38">
                  <c:v>44013</c:v>
                </c:pt>
                <c:pt idx="39">
                  <c:v>44044</c:v>
                </c:pt>
                <c:pt idx="40">
                  <c:v>44075</c:v>
                </c:pt>
                <c:pt idx="41">
                  <c:v>44105</c:v>
                </c:pt>
                <c:pt idx="42">
                  <c:v>44136</c:v>
                </c:pt>
                <c:pt idx="43">
                  <c:v>44166</c:v>
                </c:pt>
                <c:pt idx="44">
                  <c:v>44197</c:v>
                </c:pt>
                <c:pt idx="45">
                  <c:v>44228</c:v>
                </c:pt>
                <c:pt idx="46">
                  <c:v>44256</c:v>
                </c:pt>
                <c:pt idx="47">
                  <c:v>44287</c:v>
                </c:pt>
                <c:pt idx="48">
                  <c:v>44317</c:v>
                </c:pt>
                <c:pt idx="49">
                  <c:v>44348</c:v>
                </c:pt>
                <c:pt idx="50">
                  <c:v>44378</c:v>
                </c:pt>
                <c:pt idx="51">
                  <c:v>44409</c:v>
                </c:pt>
                <c:pt idx="52">
                  <c:v>44440</c:v>
                </c:pt>
                <c:pt idx="53">
                  <c:v>44470</c:v>
                </c:pt>
                <c:pt idx="54">
                  <c:v>44501</c:v>
                </c:pt>
                <c:pt idx="55">
                  <c:v>44531</c:v>
                </c:pt>
                <c:pt idx="56">
                  <c:v>44562</c:v>
                </c:pt>
                <c:pt idx="57">
                  <c:v>44593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44C-41E6-877C-395459EF8A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747648"/>
        <c:axId val="292508160"/>
      </c:lineChart>
      <c:dateAx>
        <c:axId val="4674764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292508160"/>
        <c:crosses val="autoZero"/>
        <c:auto val="1"/>
        <c:lblOffset val="100"/>
        <c:baseTimeUnit val="months"/>
        <c:majorUnit val="3"/>
        <c:majorTimeUnit val="months"/>
      </c:dateAx>
      <c:valAx>
        <c:axId val="292508160"/>
        <c:scaling>
          <c:orientation val="minMax"/>
          <c:max val="7"/>
          <c:min val="2"/>
        </c:scaling>
        <c:delete val="0"/>
        <c:axPos val="l"/>
        <c:majorGridlines>
          <c:spPr>
            <a:ln>
              <a:solidFill>
                <a:srgbClr val="FF0000"/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46747648"/>
        <c:crosses val="autoZero"/>
        <c:crossBetween val="between"/>
        <c:majorUnit val="1"/>
        <c:minorUnit val="0.5"/>
      </c:valAx>
      <c:spPr>
        <a:ln w="12700">
          <a:solidFill>
            <a:srgbClr val="002060"/>
          </a:solidFill>
        </a:ln>
      </c:spPr>
    </c:plotArea>
    <c:plotVisOnly val="1"/>
    <c:dispBlanksAs val="gap"/>
    <c:showDLblsOverMax val="0"/>
  </c:chart>
  <c:spPr>
    <a:ln w="15875">
      <a:solidFill>
        <a:srgbClr val="002060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0933752886893"/>
          <c:y val="5.0925925925925923E-2"/>
          <c:w val="0.84638942646240511"/>
          <c:h val="0.7669367891513561"/>
        </c:manualLayout>
      </c:layout>
      <c:lineChart>
        <c:grouping val="standard"/>
        <c:varyColors val="0"/>
        <c:ser>
          <c:idx val="0"/>
          <c:order val="0"/>
          <c:spPr>
            <a:ln w="2222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cat>
            <c:numRef>
              <c:f>Sheet1!$Q$27:$Q$51</c:f>
              <c:numCache>
                <c:formatCode>mmm\-yy</c:formatCode>
                <c:ptCount val="25"/>
                <c:pt idx="0">
                  <c:v>43132</c:v>
                </c:pt>
                <c:pt idx="1">
                  <c:v>43191</c:v>
                </c:pt>
                <c:pt idx="2">
                  <c:v>43252</c:v>
                </c:pt>
                <c:pt idx="3">
                  <c:v>43313</c:v>
                </c:pt>
                <c:pt idx="4">
                  <c:v>43374</c:v>
                </c:pt>
                <c:pt idx="5">
                  <c:v>43435</c:v>
                </c:pt>
                <c:pt idx="6">
                  <c:v>43497</c:v>
                </c:pt>
                <c:pt idx="7">
                  <c:v>43556</c:v>
                </c:pt>
                <c:pt idx="8">
                  <c:v>43617</c:v>
                </c:pt>
                <c:pt idx="9">
                  <c:v>43678</c:v>
                </c:pt>
                <c:pt idx="10">
                  <c:v>43739</c:v>
                </c:pt>
                <c:pt idx="11">
                  <c:v>43800</c:v>
                </c:pt>
                <c:pt idx="12">
                  <c:v>43862</c:v>
                </c:pt>
                <c:pt idx="13">
                  <c:v>43922</c:v>
                </c:pt>
                <c:pt idx="14">
                  <c:v>43983</c:v>
                </c:pt>
                <c:pt idx="15">
                  <c:v>44044</c:v>
                </c:pt>
                <c:pt idx="16">
                  <c:v>44105</c:v>
                </c:pt>
                <c:pt idx="17">
                  <c:v>44166</c:v>
                </c:pt>
                <c:pt idx="18">
                  <c:v>44228</c:v>
                </c:pt>
                <c:pt idx="19">
                  <c:v>44287</c:v>
                </c:pt>
                <c:pt idx="20">
                  <c:v>44348</c:v>
                </c:pt>
                <c:pt idx="21">
                  <c:v>44409</c:v>
                </c:pt>
                <c:pt idx="22">
                  <c:v>44470</c:v>
                </c:pt>
                <c:pt idx="23">
                  <c:v>44531</c:v>
                </c:pt>
                <c:pt idx="24">
                  <c:v>44593</c:v>
                </c:pt>
              </c:numCache>
            </c:numRef>
          </c:cat>
          <c:val>
            <c:numRef>
              <c:f>Sheet1!$R$27:$R$51</c:f>
              <c:numCache>
                <c:formatCode>0.00</c:formatCode>
                <c:ptCount val="25"/>
                <c:pt idx="0">
                  <c:v>4.0999999999999996</c:v>
                </c:pt>
                <c:pt idx="1">
                  <c:v>4.67</c:v>
                </c:pt>
                <c:pt idx="2">
                  <c:v>4.16</c:v>
                </c:pt>
                <c:pt idx="3">
                  <c:v>4.3600000000000003</c:v>
                </c:pt>
                <c:pt idx="4">
                  <c:v>4.07</c:v>
                </c:pt>
                <c:pt idx="5">
                  <c:v>3.83</c:v>
                </c:pt>
                <c:pt idx="6">
                  <c:v>3.3</c:v>
                </c:pt>
                <c:pt idx="7">
                  <c:v>3.85</c:v>
                </c:pt>
                <c:pt idx="8">
                  <c:v>3.73</c:v>
                </c:pt>
                <c:pt idx="9">
                  <c:v>3.7</c:v>
                </c:pt>
                <c:pt idx="10">
                  <c:v>3.8</c:v>
                </c:pt>
                <c:pt idx="11">
                  <c:v>4.22</c:v>
                </c:pt>
                <c:pt idx="12">
                  <c:v>4.0344499999999996</c:v>
                </c:pt>
                <c:pt idx="13">
                  <c:v>4.2</c:v>
                </c:pt>
                <c:pt idx="14">
                  <c:v>4.3033999999999999</c:v>
                </c:pt>
                <c:pt idx="15">
                  <c:v>4.3657103825136616</c:v>
                </c:pt>
                <c:pt idx="16">
                  <c:v>4.3937999999999997</c:v>
                </c:pt>
                <c:pt idx="17">
                  <c:v>4.4060994764397936</c:v>
                </c:pt>
                <c:pt idx="18">
                  <c:v>4.6336196319018432</c:v>
                </c:pt>
                <c:pt idx="19">
                  <c:v>4.7313000000000009</c:v>
                </c:pt>
                <c:pt idx="20">
                  <c:v>5.3605279503105585</c:v>
                </c:pt>
                <c:pt idx="21">
                  <c:v>4.9750499999999995</c:v>
                </c:pt>
                <c:pt idx="22">
                  <c:v>5.0602923976608221</c:v>
                </c:pt>
                <c:pt idx="23">
                  <c:v>4.959403409090914</c:v>
                </c:pt>
                <c:pt idx="24">
                  <c:v>5.7367741935483894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60-496F-9625-A0DE993EE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1209504"/>
        <c:axId val="721202848"/>
      </c:lineChart>
      <c:dateAx>
        <c:axId val="72120950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21202848"/>
        <c:crosses val="autoZero"/>
        <c:auto val="1"/>
        <c:lblOffset val="100"/>
        <c:baseTimeUnit val="months"/>
        <c:majorUnit val="2"/>
        <c:majorTimeUnit val="months"/>
      </c:dateAx>
      <c:valAx>
        <c:axId val="721202848"/>
        <c:scaling>
          <c:orientation val="minMax"/>
          <c:min val="2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21209504"/>
        <c:crosses val="autoZero"/>
        <c:crossBetween val="between"/>
      </c:valAx>
      <c:spPr>
        <a:noFill/>
        <a:ln w="12700">
          <a:solidFill>
            <a:srgbClr val="00206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rgbClr val="002060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604111986001755E-2"/>
          <c:y val="5.0925925925925923E-2"/>
          <c:w val="0.85972287839020123"/>
          <c:h val="0.78696704578594345"/>
        </c:manualLayout>
      </c:layout>
      <c:barChart>
        <c:barDir val="col"/>
        <c:grouping val="clustered"/>
        <c:varyColors val="0"/>
        <c:ser>
          <c:idx val="5"/>
          <c:order val="0"/>
          <c:tx>
            <c:strRef>
              <c:f>Question3!$BD$3</c:f>
              <c:strCache>
                <c:ptCount val="1"/>
                <c:pt idx="0">
                  <c:v>Nov-21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8948670377241917E-3"/>
                  <c:y val="1.1799410029498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23C-4374-BEDB-91B1DEA97AD7}"/>
                </c:ext>
              </c:extLst>
            </c:dLbl>
            <c:dLbl>
              <c:idx val="3"/>
              <c:layout>
                <c:manualLayout>
                  <c:x val="-7.4211502782931356E-3"/>
                  <c:y val="1.7699115044247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23C-4374-BEDB-91B1DEA97AD7}"/>
                </c:ext>
              </c:extLst>
            </c:dLbl>
            <c:dLbl>
              <c:idx val="4"/>
              <c:layout>
                <c:manualLayout>
                  <c:x val="-1.48423005565862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23C-4374-BEDB-91B1DEA97AD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Question3!$A$4:$A$9</c:f>
              <c:strCache>
                <c:ptCount val="6"/>
                <c:pt idx="0">
                  <c:v>Down (&lt; -1%)</c:v>
                </c:pt>
                <c:pt idx="1">
                  <c:v>About unchanged (-1% to 1%)</c:v>
                </c:pt>
                <c:pt idx="2">
                  <c:v>Up somewhat (1.1% to 3%)</c:v>
                </c:pt>
                <c:pt idx="3">
                  <c:v>Up moderately (3.1% to 6%)</c:v>
                </c:pt>
                <c:pt idx="4">
                  <c:v>Up significantly (6.1% to 10%)</c:v>
                </c:pt>
                <c:pt idx="5">
                  <c:v>Up very significantly ( &gt; 10%)</c:v>
                </c:pt>
              </c:strCache>
            </c:strRef>
          </c:cat>
          <c:val>
            <c:numRef>
              <c:f>Question3!$BD$4:$BD$9</c:f>
              <c:numCache>
                <c:formatCode>0.0%</c:formatCode>
                <c:ptCount val="6"/>
                <c:pt idx="0">
                  <c:v>5.3941908713692949E-2</c:v>
                </c:pt>
                <c:pt idx="1">
                  <c:v>7.0539419087136929E-2</c:v>
                </c:pt>
                <c:pt idx="2">
                  <c:v>9.9585062240663894E-2</c:v>
                </c:pt>
                <c:pt idx="3">
                  <c:v>0.2033195020746888</c:v>
                </c:pt>
                <c:pt idx="4">
                  <c:v>0.27800829875518673</c:v>
                </c:pt>
                <c:pt idx="5">
                  <c:v>0.29460580912863071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3C-4374-BEDB-91B1DEA97AD7}"/>
            </c:ext>
          </c:extLst>
        </c:ser>
        <c:ser>
          <c:idx val="2"/>
          <c:order val="1"/>
          <c:tx>
            <c:strRef>
              <c:f>Question3!$BE$3</c:f>
              <c:strCache>
                <c:ptCount val="1"/>
                <c:pt idx="0">
                  <c:v>Dec-21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3C-4374-BEDB-91B1DEA97AD7}"/>
                </c:ext>
              </c:extLst>
            </c:dLbl>
            <c:dLbl>
              <c:idx val="1"/>
              <c:layout>
                <c:manualLayout>
                  <c:x val="0"/>
                  <c:y val="3.5398230088495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3C-4374-BEDB-91B1DEA97AD7}"/>
                </c:ext>
              </c:extLst>
            </c:dLbl>
            <c:dLbl>
              <c:idx val="2"/>
              <c:layout>
                <c:manualLayout>
                  <c:x val="0"/>
                  <c:y val="1.769911504424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3C-4374-BEDB-91B1DEA97AD7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3C-4374-BEDB-91B1DEA97AD7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3C-4374-BEDB-91B1DEA97AD7}"/>
                </c:ext>
              </c:extLst>
            </c:dLbl>
            <c:dLbl>
              <c:idx val="5"/>
              <c:layout>
                <c:manualLayout>
                  <c:x val="0"/>
                  <c:y val="1.7699115044247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23C-4374-BEDB-91B1DEA97AD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Question3!$A$4:$A$9</c:f>
              <c:strCache>
                <c:ptCount val="6"/>
                <c:pt idx="0">
                  <c:v>Down (&lt; -1%)</c:v>
                </c:pt>
                <c:pt idx="1">
                  <c:v>About unchanged (-1% to 1%)</c:v>
                </c:pt>
                <c:pt idx="2">
                  <c:v>Up somewhat (1.1% to 3%)</c:v>
                </c:pt>
                <c:pt idx="3">
                  <c:v>Up moderately (3.1% to 6%)</c:v>
                </c:pt>
                <c:pt idx="4">
                  <c:v>Up significantly (6.1% to 10%)</c:v>
                </c:pt>
                <c:pt idx="5">
                  <c:v>Up very significantly ( &gt; 10%)</c:v>
                </c:pt>
              </c:strCache>
            </c:strRef>
          </c:cat>
          <c:val>
            <c:numRef>
              <c:f>Question3!$BE$4:$BE$9</c:f>
              <c:numCache>
                <c:formatCode>0.0%</c:formatCode>
                <c:ptCount val="6"/>
                <c:pt idx="0">
                  <c:v>4.8672566371681415E-2</c:v>
                </c:pt>
                <c:pt idx="1">
                  <c:v>4.8672566371681415E-2</c:v>
                </c:pt>
                <c:pt idx="2">
                  <c:v>7.5221238938053103E-2</c:v>
                </c:pt>
                <c:pt idx="3">
                  <c:v>0.25663716814159293</c:v>
                </c:pt>
                <c:pt idx="4">
                  <c:v>0.29646017699115046</c:v>
                </c:pt>
                <c:pt idx="5">
                  <c:v>0.27433628318584069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23C-4374-BEDB-91B1DEA97AD7}"/>
            </c:ext>
          </c:extLst>
        </c:ser>
        <c:ser>
          <c:idx val="3"/>
          <c:order val="2"/>
          <c:tx>
            <c:strRef>
              <c:f>Question3!$BF$3</c:f>
              <c:strCache>
                <c:ptCount val="1"/>
                <c:pt idx="0">
                  <c:v>Jan-22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9498525073746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23C-4374-BEDB-91B1DEA97AD7}"/>
                </c:ext>
              </c:extLst>
            </c:dLbl>
            <c:dLbl>
              <c:idx val="1"/>
              <c:layout>
                <c:manualLayout>
                  <c:x val="7.4211502782931356E-3"/>
                  <c:y val="-5.89970501474937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23C-4374-BEDB-91B1DEA97AD7}"/>
                </c:ext>
              </c:extLst>
            </c:dLbl>
            <c:dLbl>
              <c:idx val="4"/>
              <c:layout>
                <c:manualLayout>
                  <c:x val="-9.0701900049715718E-17"/>
                  <c:y val="1.7699115044247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23C-4374-BEDB-91B1DEA97AD7}"/>
                </c:ext>
              </c:extLst>
            </c:dLbl>
            <c:dLbl>
              <c:idx val="5"/>
              <c:layout>
                <c:manualLayout>
                  <c:x val="0"/>
                  <c:y val="3.5398230088495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3C-4374-BEDB-91B1DEA97AD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Question3!$A$4:$A$9</c:f>
              <c:strCache>
                <c:ptCount val="6"/>
                <c:pt idx="0">
                  <c:v>Down (&lt; -1%)</c:v>
                </c:pt>
                <c:pt idx="1">
                  <c:v>About unchanged (-1% to 1%)</c:v>
                </c:pt>
                <c:pt idx="2">
                  <c:v>Up somewhat (1.1% to 3%)</c:v>
                </c:pt>
                <c:pt idx="3">
                  <c:v>Up moderately (3.1% to 6%)</c:v>
                </c:pt>
                <c:pt idx="4">
                  <c:v>Up significantly (6.1% to 10%)</c:v>
                </c:pt>
                <c:pt idx="5">
                  <c:v>Up very significantly ( &gt; 10%)</c:v>
                </c:pt>
              </c:strCache>
            </c:strRef>
          </c:cat>
          <c:val>
            <c:numRef>
              <c:f>Question3!$BF$4:$BF$9</c:f>
              <c:numCache>
                <c:formatCode>0.0%</c:formatCode>
                <c:ptCount val="6"/>
                <c:pt idx="0">
                  <c:v>3.49E-2</c:v>
                </c:pt>
                <c:pt idx="1">
                  <c:v>5.6800000000000003E-2</c:v>
                </c:pt>
                <c:pt idx="2">
                  <c:v>0.1048</c:v>
                </c:pt>
                <c:pt idx="3">
                  <c:v>0.18340000000000001</c:v>
                </c:pt>
                <c:pt idx="4">
                  <c:v>0.2576</c:v>
                </c:pt>
                <c:pt idx="5">
                  <c:v>0.3624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23C-4374-BEDB-91B1DEA97AD7}"/>
            </c:ext>
          </c:extLst>
        </c:ser>
        <c:ser>
          <c:idx val="0"/>
          <c:order val="3"/>
          <c:tx>
            <c:strRef>
              <c:f>Question3!$BG$3</c:f>
              <c:strCache>
                <c:ptCount val="1"/>
                <c:pt idx="0">
                  <c:v>Feb-22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23685837971552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23C-4374-BEDB-91B1DEA97AD7}"/>
                </c:ext>
              </c:extLst>
            </c:dLbl>
            <c:dLbl>
              <c:idx val="2"/>
              <c:layout>
                <c:manualLayout>
                  <c:x val="9.89486703772418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23C-4374-BEDB-91B1DEA97AD7}"/>
                </c:ext>
              </c:extLst>
            </c:dLbl>
            <c:dLbl>
              <c:idx val="3"/>
              <c:layout>
                <c:manualLayout>
                  <c:x val="1.2368583797155134E-2"/>
                  <c:y val="1.7699115044247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23C-4374-BEDB-91B1DEA97AD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Question3!$A$4:$A$9</c:f>
              <c:strCache>
                <c:ptCount val="6"/>
                <c:pt idx="0">
                  <c:v>Down (&lt; -1%)</c:v>
                </c:pt>
                <c:pt idx="1">
                  <c:v>About unchanged (-1% to 1%)</c:v>
                </c:pt>
                <c:pt idx="2">
                  <c:v>Up somewhat (1.1% to 3%)</c:v>
                </c:pt>
                <c:pt idx="3">
                  <c:v>Up moderately (3.1% to 6%)</c:v>
                </c:pt>
                <c:pt idx="4">
                  <c:v>Up significantly (6.1% to 10%)</c:v>
                </c:pt>
                <c:pt idx="5">
                  <c:v>Up very significantly ( &gt; 10%)</c:v>
                </c:pt>
              </c:strCache>
            </c:strRef>
          </c:cat>
          <c:val>
            <c:numRef>
              <c:f>Question3!$BG$4:$BG$9</c:f>
              <c:numCache>
                <c:formatCode>0.0%</c:formatCode>
                <c:ptCount val="6"/>
                <c:pt idx="0">
                  <c:v>6.363636363636363E-2</c:v>
                </c:pt>
                <c:pt idx="1">
                  <c:v>2.7272727272727271E-2</c:v>
                </c:pt>
                <c:pt idx="2">
                  <c:v>6.8181818181818177E-2</c:v>
                </c:pt>
                <c:pt idx="3">
                  <c:v>0.15</c:v>
                </c:pt>
                <c:pt idx="4">
                  <c:v>0.30454545454545456</c:v>
                </c:pt>
                <c:pt idx="5">
                  <c:v>0.38636363636363635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23C-4374-BEDB-91B1DEA97A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97088"/>
        <c:axId val="71468736"/>
      </c:barChart>
      <c:catAx>
        <c:axId val="7189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1468736"/>
        <c:crosses val="autoZero"/>
        <c:auto val="1"/>
        <c:lblAlgn val="ctr"/>
        <c:lblOffset val="100"/>
        <c:noMultiLvlLbl val="0"/>
      </c:catAx>
      <c:valAx>
        <c:axId val="7146873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71897088"/>
        <c:crosses val="autoZero"/>
        <c:crossBetween val="between"/>
        <c:majorUnit val="0.1"/>
      </c:valAx>
      <c:spPr>
        <a:ln w="12700"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0.11423818775899766"/>
          <c:y val="4.5813885667392348E-2"/>
          <c:w val="0.4044959315150542"/>
          <c:h val="0.17479014238264465"/>
        </c:manualLayout>
      </c:layout>
      <c:overlay val="0"/>
    </c:legend>
    <c:plotVisOnly val="1"/>
    <c:dispBlanksAs val="gap"/>
    <c:showDLblsOverMax val="0"/>
  </c:chart>
  <c:spPr>
    <a:ln w="15875">
      <a:solidFill>
        <a:schemeClr val="accent1"/>
      </a:solidFill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604111986001755E-2"/>
          <c:y val="5.0925925925925923E-2"/>
          <c:w val="0.89454177602799645"/>
          <c:h val="0.7568740886555847"/>
        </c:manualLayout>
      </c:layout>
      <c:barChart>
        <c:barDir val="col"/>
        <c:grouping val="clustered"/>
        <c:varyColors val="0"/>
        <c:ser>
          <c:idx val="5"/>
          <c:order val="0"/>
          <c:tx>
            <c:strRef>
              <c:f>'Question 2'!$BC$3</c:f>
              <c:strCache>
                <c:ptCount val="1"/>
                <c:pt idx="0">
                  <c:v>Nov-21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2277470841006752E-2"/>
                  <c:y val="-1.022768287171480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2E3-42B9-AFF0-A1404C21AED7}"/>
                </c:ext>
              </c:extLst>
            </c:dLbl>
            <c:dLbl>
              <c:idx val="4"/>
              <c:layout>
                <c:manualLayout>
                  <c:x val="-1.22774708410069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2E3-42B9-AFF0-A1404C21AED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2'!$A$4:$A$8</c:f>
              <c:strCache>
                <c:ptCount val="5"/>
                <c:pt idx="0">
                  <c:v>Much less than normal</c:v>
                </c:pt>
                <c:pt idx="1">
                  <c:v>Somewhat less than normal</c:v>
                </c:pt>
                <c:pt idx="2">
                  <c:v>About normal</c:v>
                </c:pt>
                <c:pt idx="3">
                  <c:v>Somewhat greater than normal</c:v>
                </c:pt>
                <c:pt idx="4">
                  <c:v>Much greater than normal</c:v>
                </c:pt>
              </c:strCache>
            </c:strRef>
          </c:cat>
          <c:val>
            <c:numRef>
              <c:f>'Question 2'!$BC$4:$BC$8</c:f>
              <c:numCache>
                <c:formatCode>0.0%</c:formatCode>
                <c:ptCount val="5"/>
                <c:pt idx="0">
                  <c:v>0.29460580912863071</c:v>
                </c:pt>
                <c:pt idx="1">
                  <c:v>0.28215767634854771</c:v>
                </c:pt>
                <c:pt idx="2">
                  <c:v>0.23651452282157676</c:v>
                </c:pt>
                <c:pt idx="3">
                  <c:v>0.15352697095435686</c:v>
                </c:pt>
                <c:pt idx="4">
                  <c:v>3.3195020746887967E-2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E3-42B9-AFF0-A1404C21AED7}"/>
            </c:ext>
          </c:extLst>
        </c:ser>
        <c:ser>
          <c:idx val="3"/>
          <c:order val="1"/>
          <c:tx>
            <c:strRef>
              <c:f>'Question 2'!$BD$3</c:f>
              <c:strCache>
                <c:ptCount val="1"/>
                <c:pt idx="0">
                  <c:v>Dec-21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188459177409455E-2"/>
                  <c:y val="5.57880055788005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E3-42B9-AFF0-A1404C21AED7}"/>
                </c:ext>
              </c:extLst>
            </c:dLbl>
            <c:dLbl>
              <c:idx val="1"/>
              <c:layout>
                <c:manualLayout>
                  <c:x val="0"/>
                  <c:y val="3.3472803347280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E3-42B9-AFF0-A1404C21AED7}"/>
                </c:ext>
              </c:extLst>
            </c:dLbl>
            <c:dLbl>
              <c:idx val="2"/>
              <c:layout>
                <c:manualLayout>
                  <c:x val="-2.4554941682013503E-3"/>
                  <c:y val="2.7894002789400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2E3-42B9-AFF0-A1404C21AED7}"/>
                </c:ext>
              </c:extLst>
            </c:dLbl>
            <c:dLbl>
              <c:idx val="3"/>
              <c:layout>
                <c:manualLayout>
                  <c:x val="0"/>
                  <c:y val="1.6736401673640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2E3-42B9-AFF0-A1404C21AED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2'!$A$4:$A$8</c:f>
              <c:strCache>
                <c:ptCount val="5"/>
                <c:pt idx="0">
                  <c:v>Much less than normal</c:v>
                </c:pt>
                <c:pt idx="1">
                  <c:v>Somewhat less than normal</c:v>
                </c:pt>
                <c:pt idx="2">
                  <c:v>About normal</c:v>
                </c:pt>
                <c:pt idx="3">
                  <c:v>Somewhat greater than normal</c:v>
                </c:pt>
                <c:pt idx="4">
                  <c:v>Much greater than normal</c:v>
                </c:pt>
              </c:strCache>
            </c:strRef>
          </c:cat>
          <c:val>
            <c:numRef>
              <c:f>'Question 2'!$BD$4:$BD$8</c:f>
              <c:numCache>
                <c:formatCode>0.0%</c:formatCode>
                <c:ptCount val="5"/>
                <c:pt idx="0">
                  <c:v>0.36283185840707965</c:v>
                </c:pt>
                <c:pt idx="1">
                  <c:v>0.25221238938053098</c:v>
                </c:pt>
                <c:pt idx="2">
                  <c:v>0.20796460176991149</c:v>
                </c:pt>
                <c:pt idx="3">
                  <c:v>0.1415929203539823</c:v>
                </c:pt>
                <c:pt idx="4">
                  <c:v>3.5398230088495575E-2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E3-42B9-AFF0-A1404C21AED7}"/>
            </c:ext>
          </c:extLst>
        </c:ser>
        <c:ser>
          <c:idx val="0"/>
          <c:order val="2"/>
          <c:tx>
            <c:strRef>
              <c:f>'Question 2'!$BE$3</c:f>
              <c:strCache>
                <c:ptCount val="1"/>
                <c:pt idx="0">
                  <c:v>Jan-22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1.6736401673640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2E3-42B9-AFF0-A1404C21AED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2'!$A$4:$A$8</c:f>
              <c:strCache>
                <c:ptCount val="5"/>
                <c:pt idx="0">
                  <c:v>Much less than normal</c:v>
                </c:pt>
                <c:pt idx="1">
                  <c:v>Somewhat less than normal</c:v>
                </c:pt>
                <c:pt idx="2">
                  <c:v>About normal</c:v>
                </c:pt>
                <c:pt idx="3">
                  <c:v>Somewhat greater than normal</c:v>
                </c:pt>
                <c:pt idx="4">
                  <c:v>Much greater than normal</c:v>
                </c:pt>
              </c:strCache>
            </c:strRef>
          </c:cat>
          <c:val>
            <c:numRef>
              <c:f>'Question 2'!$BE$4:$BE$8</c:f>
              <c:numCache>
                <c:formatCode>0.0%</c:formatCode>
                <c:ptCount val="5"/>
                <c:pt idx="0">
                  <c:v>0.35809999999999997</c:v>
                </c:pt>
                <c:pt idx="1">
                  <c:v>0.26200000000000001</c:v>
                </c:pt>
                <c:pt idx="2">
                  <c:v>0.20960000000000001</c:v>
                </c:pt>
                <c:pt idx="3">
                  <c:v>0.15720000000000001</c:v>
                </c:pt>
                <c:pt idx="4">
                  <c:v>1.3100000000000001E-2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E3-42B9-AFF0-A1404C21AED7}"/>
            </c:ext>
          </c:extLst>
        </c:ser>
        <c:ser>
          <c:idx val="1"/>
          <c:order val="3"/>
          <c:tx>
            <c:strRef>
              <c:f>'Question 2'!$BF$3</c:f>
              <c:strCache>
                <c:ptCount val="1"/>
                <c:pt idx="0">
                  <c:v>Feb-22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37691835481891E-2"/>
                  <c:y val="1.6736401673640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E3-42B9-AFF0-A1404C21AED7}"/>
                </c:ext>
              </c:extLst>
            </c:dLbl>
            <c:dLbl>
              <c:idx val="1"/>
              <c:layout>
                <c:manualLayout>
                  <c:x val="2.20994475138121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E3-42B9-AFF0-A1404C21AED7}"/>
                </c:ext>
              </c:extLst>
            </c:dLbl>
            <c:dLbl>
              <c:idx val="2"/>
              <c:layout>
                <c:manualLayout>
                  <c:x val="2.20994475138121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2E3-42B9-AFF0-A1404C21AED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2'!$A$4:$A$8</c:f>
              <c:strCache>
                <c:ptCount val="5"/>
                <c:pt idx="0">
                  <c:v>Much less than normal</c:v>
                </c:pt>
                <c:pt idx="1">
                  <c:v>Somewhat less than normal</c:v>
                </c:pt>
                <c:pt idx="2">
                  <c:v>About normal</c:v>
                </c:pt>
                <c:pt idx="3">
                  <c:v>Somewhat greater than normal</c:v>
                </c:pt>
                <c:pt idx="4">
                  <c:v>Much greater than normal</c:v>
                </c:pt>
              </c:strCache>
            </c:strRef>
          </c:cat>
          <c:val>
            <c:numRef>
              <c:f>'Question 2'!$BF$4:$BF$8</c:f>
              <c:numCache>
                <c:formatCode>0.0%</c:formatCode>
                <c:ptCount val="5"/>
                <c:pt idx="0">
                  <c:v>0.36536036036036001</c:v>
                </c:pt>
                <c:pt idx="1">
                  <c:v>0.22272072072072099</c:v>
                </c:pt>
                <c:pt idx="2">
                  <c:v>0.21621621621621623</c:v>
                </c:pt>
                <c:pt idx="3">
                  <c:v>0.17767567567567599</c:v>
                </c:pt>
                <c:pt idx="4">
                  <c:v>1.8018018018018018E-2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2E3-42B9-AFF0-A1404C21AE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309824"/>
        <c:axId val="168369472"/>
      </c:barChart>
      <c:catAx>
        <c:axId val="71309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8369472"/>
        <c:crosses val="autoZero"/>
        <c:auto val="1"/>
        <c:lblAlgn val="ctr"/>
        <c:lblOffset val="100"/>
        <c:noMultiLvlLbl val="0"/>
      </c:catAx>
      <c:valAx>
        <c:axId val="168369472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71309824"/>
        <c:crosses val="autoZero"/>
        <c:crossBetween val="between"/>
        <c:majorUnit val="0.1"/>
      </c:valAx>
      <c:spPr>
        <a:ln w="12700"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0.52014152927016721"/>
          <c:y val="0.13442512394284051"/>
          <c:w val="0.40368730151824939"/>
          <c:h val="0.14678746746614832"/>
        </c:manualLayout>
      </c:layout>
      <c:overlay val="0"/>
    </c:legend>
    <c:plotVisOnly val="1"/>
    <c:dispBlanksAs val="gap"/>
    <c:showDLblsOverMax val="0"/>
  </c:chart>
  <c:spPr>
    <a:ln w="15875">
      <a:solidFill>
        <a:schemeClr val="accent1"/>
      </a:solidFill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604111986001755E-2"/>
          <c:y val="5.0925925925925923E-2"/>
          <c:w val="0.88620844269466303"/>
          <c:h val="0.7568740886555847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Question1!$BC$3</c:f>
              <c:strCache>
                <c:ptCount val="1"/>
                <c:pt idx="0">
                  <c:v>Nov-21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E1-4D17-B664-A14B58CAA15B}"/>
                </c:ext>
              </c:extLst>
            </c:dLbl>
            <c:dLbl>
              <c:idx val="1"/>
              <c:layout>
                <c:manualLayout>
                  <c:x val="-6.850879196163508E-3"/>
                  <c:y val="3.2258064516129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E1-4D17-B664-A14B58CAA15B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E1-4D17-B664-A14B58CAA15B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E1-4D17-B664-A14B58CAA15B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BE1-4D17-B664-A14B58CAA15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Question1!$A$4:$A$8</c:f>
              <c:strCache>
                <c:ptCount val="5"/>
                <c:pt idx="0">
                  <c:v>Much less than normal</c:v>
                </c:pt>
                <c:pt idx="1">
                  <c:v>Somewhat less than normal</c:v>
                </c:pt>
                <c:pt idx="2">
                  <c:v>About normal</c:v>
                </c:pt>
                <c:pt idx="3">
                  <c:v>Somewhat greater than normal</c:v>
                </c:pt>
                <c:pt idx="4">
                  <c:v>Much greater than normal</c:v>
                </c:pt>
              </c:strCache>
            </c:strRef>
          </c:cat>
          <c:val>
            <c:numRef>
              <c:f>Question1!$BC$4:$BC$8</c:f>
              <c:numCache>
                <c:formatCode>0.0%</c:formatCode>
                <c:ptCount val="5"/>
                <c:pt idx="0">
                  <c:v>0.43388429752066116</c:v>
                </c:pt>
                <c:pt idx="1">
                  <c:v>0.26033057851239672</c:v>
                </c:pt>
                <c:pt idx="2">
                  <c:v>0.2024793388429752</c:v>
                </c:pt>
                <c:pt idx="3">
                  <c:v>7.8512396694214878E-2</c:v>
                </c:pt>
                <c:pt idx="4">
                  <c:v>2.4793388429752067E-2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E1-4D17-B664-A14B58CAA15B}"/>
            </c:ext>
          </c:extLst>
        </c:ser>
        <c:ser>
          <c:idx val="1"/>
          <c:order val="1"/>
          <c:tx>
            <c:strRef>
              <c:f>Question1!$BD$3</c:f>
              <c:strCache>
                <c:ptCount val="1"/>
                <c:pt idx="0">
                  <c:v>Dec-21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3.2258064516129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BE1-4D17-B664-A14B58CAA15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Question1!$A$4:$A$8</c:f>
              <c:strCache>
                <c:ptCount val="5"/>
                <c:pt idx="0">
                  <c:v>Much less than normal</c:v>
                </c:pt>
                <c:pt idx="1">
                  <c:v>Somewhat less than normal</c:v>
                </c:pt>
                <c:pt idx="2">
                  <c:v>About normal</c:v>
                </c:pt>
                <c:pt idx="3">
                  <c:v>Somewhat greater than normal</c:v>
                </c:pt>
                <c:pt idx="4">
                  <c:v>Much greater than normal</c:v>
                </c:pt>
              </c:strCache>
            </c:strRef>
          </c:cat>
          <c:val>
            <c:numRef>
              <c:f>Question1!$BD$4:$BD$8</c:f>
              <c:numCache>
                <c:formatCode>0.0%</c:formatCode>
                <c:ptCount val="5"/>
                <c:pt idx="0">
                  <c:v>0.42105263157894735</c:v>
                </c:pt>
                <c:pt idx="1">
                  <c:v>0.32017543859649122</c:v>
                </c:pt>
                <c:pt idx="2">
                  <c:v>0.16228070175438597</c:v>
                </c:pt>
                <c:pt idx="3">
                  <c:v>5.2631578947368418E-2</c:v>
                </c:pt>
                <c:pt idx="4">
                  <c:v>4.3859649122807015E-2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BE1-4D17-B664-A14B58CAA15B}"/>
            </c:ext>
          </c:extLst>
        </c:ser>
        <c:ser>
          <c:idx val="2"/>
          <c:order val="2"/>
          <c:tx>
            <c:strRef>
              <c:f>Question1!$BE$3</c:f>
              <c:strCache>
                <c:ptCount val="1"/>
                <c:pt idx="0">
                  <c:v>Jan-22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1.612903225806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BE1-4D17-B664-A14B58CAA15B}"/>
                </c:ext>
              </c:extLst>
            </c:dLbl>
            <c:dLbl>
              <c:idx val="2"/>
              <c:layout>
                <c:manualLayout>
                  <c:x val="0"/>
                  <c:y val="1.612903225806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BE1-4D17-B664-A14B58CAA15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Question1!$A$4:$A$8</c:f>
              <c:strCache>
                <c:ptCount val="5"/>
                <c:pt idx="0">
                  <c:v>Much less than normal</c:v>
                </c:pt>
                <c:pt idx="1">
                  <c:v>Somewhat less than normal</c:v>
                </c:pt>
                <c:pt idx="2">
                  <c:v>About normal</c:v>
                </c:pt>
                <c:pt idx="3">
                  <c:v>Somewhat greater than normal</c:v>
                </c:pt>
                <c:pt idx="4">
                  <c:v>Much greater than normal</c:v>
                </c:pt>
              </c:strCache>
            </c:strRef>
          </c:cat>
          <c:val>
            <c:numRef>
              <c:f>Question1!$BE$4:$BE$8</c:f>
              <c:numCache>
                <c:formatCode>0.0%</c:formatCode>
                <c:ptCount val="5"/>
                <c:pt idx="0">
                  <c:v>0.54347826086956519</c:v>
                </c:pt>
                <c:pt idx="1">
                  <c:v>0.23043478260869565</c:v>
                </c:pt>
                <c:pt idx="2">
                  <c:v>0.1391304347826087</c:v>
                </c:pt>
                <c:pt idx="3">
                  <c:v>7.3913043478260873E-2</c:v>
                </c:pt>
                <c:pt idx="4">
                  <c:v>1.3043478260869565E-2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BE1-4D17-B664-A14B58CAA15B}"/>
            </c:ext>
          </c:extLst>
        </c:ser>
        <c:ser>
          <c:idx val="4"/>
          <c:order val="3"/>
          <c:tx>
            <c:strRef>
              <c:f>Question1!$BF$3</c:f>
              <c:strCache>
                <c:ptCount val="1"/>
                <c:pt idx="0">
                  <c:v>Feb-22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403516784654032E-2"/>
                  <c:y val="5.37634408602150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E1-4D17-B664-A14B58CAA15B}"/>
                </c:ext>
              </c:extLst>
            </c:dLbl>
            <c:dLbl>
              <c:idx val="2"/>
              <c:layout>
                <c:manualLayout>
                  <c:x val="1.59853847910481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BE1-4D17-B664-A14B58CAA15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Question1!$A$4:$A$8</c:f>
              <c:strCache>
                <c:ptCount val="5"/>
                <c:pt idx="0">
                  <c:v>Much less than normal</c:v>
                </c:pt>
                <c:pt idx="1">
                  <c:v>Somewhat less than normal</c:v>
                </c:pt>
                <c:pt idx="2">
                  <c:v>About normal</c:v>
                </c:pt>
                <c:pt idx="3">
                  <c:v>Somewhat greater than normal</c:v>
                </c:pt>
                <c:pt idx="4">
                  <c:v>Much greater than normal</c:v>
                </c:pt>
              </c:strCache>
            </c:strRef>
          </c:cat>
          <c:val>
            <c:numRef>
              <c:f>Question1!$BF$4:$BF$8</c:f>
              <c:numCache>
                <c:formatCode>0.0%</c:formatCode>
                <c:ptCount val="5"/>
                <c:pt idx="0">
                  <c:v>0.51801801801801806</c:v>
                </c:pt>
                <c:pt idx="1">
                  <c:v>0.26576576576576577</c:v>
                </c:pt>
                <c:pt idx="2">
                  <c:v>0.14864864864864866</c:v>
                </c:pt>
                <c:pt idx="3">
                  <c:v>4.954954954954955E-2</c:v>
                </c:pt>
                <c:pt idx="4">
                  <c:v>1.8018018018018018E-2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BE1-4D17-B664-A14B58CAA1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310848"/>
        <c:axId val="168367168"/>
      </c:barChart>
      <c:catAx>
        <c:axId val="71310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8367168"/>
        <c:crosses val="autoZero"/>
        <c:auto val="1"/>
        <c:lblAlgn val="ctr"/>
        <c:lblOffset val="100"/>
        <c:noMultiLvlLbl val="0"/>
      </c:catAx>
      <c:valAx>
        <c:axId val="16836716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71310848"/>
        <c:crosses val="autoZero"/>
        <c:crossBetween val="between"/>
      </c:valAx>
      <c:spPr>
        <a:ln w="12700"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0.57284462529646685"/>
          <c:y val="8.3499198016914564E-2"/>
          <c:w val="0.33002339368460432"/>
          <c:h val="0.28718447048426265"/>
        </c:manualLayout>
      </c:layout>
      <c:overlay val="0"/>
    </c:legend>
    <c:plotVisOnly val="1"/>
    <c:dispBlanksAs val="gap"/>
    <c:showDLblsOverMax val="0"/>
  </c:chart>
  <c:spPr>
    <a:ln w="15875">
      <a:solidFill>
        <a:schemeClr val="accent1"/>
      </a:solidFill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0.01633</cdr:x>
      <cdr:y>0.11901</cdr:y>
    </cdr:from>
    <cdr:to>
      <cdr:x>0.08895</cdr:x>
      <cdr:y>0.70254</cdr:y>
    </cdr:to>
    <cdr:sp macro="" textlink="">
      <cdr:nvSpPr>
        <cdr:cNvPr id="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2264" y="326466"/>
          <a:ext cx="365937" cy="1600747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vert270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ct val="106000"/>
            </a:lnSpc>
            <a:spcAft>
              <a:spcPts val="800"/>
            </a:spcAft>
          </a:pPr>
          <a:r>
            <a:rPr lang="en-US" sz="1000"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Inflation Expectations (%)   </a:t>
          </a:r>
          <a:endParaRPr lang="en-IN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0.00563</cdr:x>
      <cdr:y>0.13452</cdr:y>
    </cdr:from>
    <cdr:to>
      <cdr:x>0.07886</cdr:x>
      <cdr:y>0.67708</cdr:y>
    </cdr:to>
    <cdr:sp macro="" textlink="">
      <cdr:nvSpPr>
        <cdr:cNvPr id="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575" y="369011"/>
          <a:ext cx="371803" cy="1488363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vert270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ct val="106000"/>
            </a:lnSpc>
            <a:spcAft>
              <a:spcPts val="800"/>
            </a:spcAft>
          </a:pPr>
          <a:r>
            <a:rPr lang="en-US" sz="1000">
              <a:effectLst/>
              <a:latin typeface="Times New Roman" panose="02020603050405020304" pitchFamily="18" charset="0"/>
              <a:ea typeface="Times New Roman" panose="02020603050405020304" pitchFamily="18" charset="0"/>
            </a:rPr>
            <a:t>Inflation Expectations (%)   </a:t>
          </a:r>
          <a:endParaRPr lang="en-IN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83188-D09D-48A8-AD54-249243B9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Alisha Kirankumar Engraver</cp:lastModifiedBy>
  <cp:revision>24</cp:revision>
  <cp:lastPrinted>2022-04-02T03:48:00Z</cp:lastPrinted>
  <dcterms:created xsi:type="dcterms:W3CDTF">2022-03-31T14:01:00Z</dcterms:created>
  <dcterms:modified xsi:type="dcterms:W3CDTF">2022-04-06T04:10:00Z</dcterms:modified>
</cp:coreProperties>
</file>