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29" w:rsidRDefault="00DF5E29" w:rsidP="00DF5E2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rsidR="00DF5E29" w:rsidRDefault="00DF5E29" w:rsidP="00DF5E2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rsidR="00DF5E29" w:rsidRPr="00F5494B" w:rsidRDefault="00DF5E29" w:rsidP="00DF5E29">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DF5E29" w:rsidRDefault="00DF5E2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CD425D">
        <w:rPr>
          <w:rFonts w:ascii="Times New Roman" w:eastAsia="Times New Roman" w:hAnsi="Times New Roman" w:cs="Times New Roman"/>
          <w:b/>
          <w:color w:val="222222"/>
          <w:sz w:val="28"/>
          <w:szCs w:val="28"/>
          <w:shd w:val="clear" w:color="auto" w:fill="FFFFFF"/>
          <w:lang w:val="en-GB" w:eastAsia="en-GB"/>
        </w:rPr>
        <w:t>February</w:t>
      </w:r>
      <w:r w:rsidR="00C6596E">
        <w:rPr>
          <w:rFonts w:ascii="Times New Roman" w:eastAsia="Times New Roman" w:hAnsi="Times New Roman" w:cs="Times New Roman"/>
          <w:b/>
          <w:color w:val="222222"/>
          <w:sz w:val="28"/>
          <w:szCs w:val="28"/>
          <w:shd w:val="clear" w:color="auto" w:fill="FFFFFF"/>
          <w:lang w:val="en-GB" w:eastAsia="en-GB"/>
        </w:rPr>
        <w:t xml:space="preserve"> 2020</w:t>
      </w:r>
    </w:p>
    <w:p w:rsidR="00DF5E29" w:rsidRDefault="00DF5E29" w:rsidP="00DF5E29">
      <w:pPr>
        <w:spacing w:after="160" w:line="256" w:lineRule="auto"/>
        <w:jc w:val="both"/>
        <w:rPr>
          <w:rFonts w:ascii="Times New Roman" w:hAnsi="Times New Roman" w:cs="Times New Roman"/>
          <w:b/>
        </w:rPr>
      </w:pPr>
    </w:p>
    <w:p w:rsidR="00DF5E29" w:rsidRPr="00DF5E29" w:rsidRDefault="00DF5E29" w:rsidP="00DF5E29">
      <w:pPr>
        <w:spacing w:after="160" w:line="256" w:lineRule="auto"/>
        <w:jc w:val="both"/>
        <w:rPr>
          <w:rFonts w:ascii="Times New Roman" w:eastAsia="Times New Roman" w:hAnsi="Times New Roman" w:cs="Times New Roman"/>
          <w:b/>
        </w:rPr>
      </w:pPr>
      <w:r>
        <w:rPr>
          <w:rFonts w:ascii="Times New Roman" w:hAnsi="Times New Roman" w:cs="Times New Roman"/>
          <w:b/>
        </w:rPr>
        <w:t>April</w:t>
      </w:r>
      <w:r w:rsidRPr="00CE6B69">
        <w:rPr>
          <w:rFonts w:ascii="Times New Roman" w:eastAsia="Times New Roman" w:hAnsi="Times New Roman" w:cs="Times New Roman"/>
          <w:b/>
        </w:rPr>
        <w:t xml:space="preserve"> </w:t>
      </w:r>
      <w:r>
        <w:rPr>
          <w:rFonts w:ascii="Times New Roman" w:eastAsia="Times New Roman" w:hAnsi="Times New Roman" w:cs="Times New Roman"/>
          <w:b/>
        </w:rPr>
        <w:t>4</w:t>
      </w:r>
      <w:r w:rsidRPr="00CE6B69">
        <w:rPr>
          <w:rFonts w:ascii="Times New Roman" w:eastAsia="Times New Roman" w:hAnsi="Times New Roman" w:cs="Times New Roman"/>
          <w:b/>
        </w:rPr>
        <w:t xml:space="preserve">, 2020 | </w:t>
      </w:r>
      <w:proofErr w:type="spellStart"/>
      <w:r w:rsidRPr="00CE6B69">
        <w:rPr>
          <w:rFonts w:ascii="Times New Roman" w:eastAsia="Times New Roman" w:hAnsi="Times New Roman" w:cs="Times New Roman"/>
          <w:b/>
        </w:rPr>
        <w:t>Ahmedabad</w:t>
      </w:r>
      <w:proofErr w:type="spellEnd"/>
    </w:p>
    <w:p w:rsidR="00DF5E29" w:rsidRPr="00D51BF6" w:rsidRDefault="00DF5E29" w:rsidP="00DF5E29">
      <w:pPr>
        <w:spacing w:after="0" w:line="240" w:lineRule="auto"/>
        <w:jc w:val="both"/>
        <w:rPr>
          <w:rFonts w:ascii="Times New Roman" w:hAnsi="Times New Roman" w:cs="Times New Roman"/>
        </w:rPr>
      </w:pPr>
      <w:r w:rsidRPr="00D51BF6">
        <w:rPr>
          <w:rFonts w:ascii="Times New Roman" w:hAnsi="Times New Roman" w:cs="Times New Roman"/>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for information. </w:t>
      </w:r>
    </w:p>
    <w:p w:rsidR="00DF5E29" w:rsidRPr="00D51BF6" w:rsidRDefault="00DF5E29" w:rsidP="00DF5E29">
      <w:pPr>
        <w:spacing w:after="0" w:line="240" w:lineRule="auto"/>
        <w:jc w:val="both"/>
        <w:rPr>
          <w:rFonts w:ascii="Times New Roman" w:hAnsi="Times New Roman" w:cs="Times New Roman"/>
        </w:rPr>
      </w:pPr>
    </w:p>
    <w:p w:rsidR="00DF5E29" w:rsidRDefault="00DF5E29" w:rsidP="00DF5E29">
      <w:pPr>
        <w:spacing w:after="0" w:line="240" w:lineRule="auto"/>
        <w:rPr>
          <w:rFonts w:ascii="Times New Roman" w:hAnsi="Times New Roman" w:cs="Times New Roman"/>
        </w:rPr>
      </w:pPr>
      <w:r w:rsidRPr="00D51BF6">
        <w:rPr>
          <w:rFonts w:ascii="Times New Roman" w:hAnsi="Times New Roman" w:cs="Times New Roman"/>
        </w:rPr>
        <w:t>Companies are selected primarily from the manufactu</w:t>
      </w:r>
      <w:r>
        <w:rPr>
          <w:rFonts w:ascii="Times New Roman" w:hAnsi="Times New Roman" w:cs="Times New Roman"/>
        </w:rPr>
        <w:t>ring sector. The “BIES - February 2020” is the 34th</w:t>
      </w:r>
      <w:r w:rsidRPr="00D51BF6">
        <w:rPr>
          <w:rFonts w:ascii="Times New Roman" w:hAnsi="Times New Roman" w:cs="Times New Roman"/>
        </w:rPr>
        <w:t xml:space="preserve"> round of the Survey. These results are based on the responses of over 1200 companies</w:t>
      </w:r>
    </w:p>
    <w:p w:rsidR="00DF5E29" w:rsidRDefault="00DF5E29" w:rsidP="00DF5E29">
      <w:pPr>
        <w:spacing w:after="0" w:line="240" w:lineRule="auto"/>
        <w:rPr>
          <w:rFonts w:ascii="Times New Roman" w:hAnsi="Times New Roman" w:cs="Times New Roman"/>
          <w:b/>
        </w:rPr>
      </w:pPr>
    </w:p>
    <w:p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rsidR="00FC49EB" w:rsidRPr="00C81AC1" w:rsidRDefault="00FC49EB" w:rsidP="001D09C4">
      <w:pPr>
        <w:spacing w:after="0" w:line="240" w:lineRule="auto"/>
        <w:rPr>
          <w:rFonts w:ascii="Times New Roman" w:hAnsi="Times New Roman" w:cs="Times New Roman"/>
          <w:b/>
        </w:rPr>
      </w:pPr>
    </w:p>
    <w:p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472BB9">
        <w:rPr>
          <w:rFonts w:ascii="Times New Roman" w:hAnsi="Times New Roman" w:cs="Times New Roman"/>
          <w:bCs/>
        </w:rPr>
        <w:t>further</w:t>
      </w:r>
      <w:r w:rsidR="002E0B96">
        <w:rPr>
          <w:rFonts w:ascii="Times New Roman" w:hAnsi="Times New Roman" w:cs="Times New Roman"/>
          <w:bCs/>
        </w:rPr>
        <w:t xml:space="preserve"> increased to</w:t>
      </w:r>
      <w:r w:rsidR="00472BB9">
        <w:rPr>
          <w:rFonts w:ascii="Times New Roman" w:hAnsi="Times New Roman" w:cs="Times New Roman"/>
          <w:bCs/>
        </w:rPr>
        <w:t xml:space="preserve"> 3.85% from </w:t>
      </w:r>
      <w:r w:rsidR="00351891">
        <w:rPr>
          <w:rFonts w:ascii="Times New Roman" w:hAnsi="Times New Roman" w:cs="Times New Roman"/>
          <w:bCs/>
        </w:rPr>
        <w:t xml:space="preserve">3.62% </w:t>
      </w:r>
      <w:r w:rsidR="00472BB9">
        <w:rPr>
          <w:rFonts w:ascii="Times New Roman" w:hAnsi="Times New Roman" w:cs="Times New Roman"/>
          <w:bCs/>
        </w:rPr>
        <w:t xml:space="preserve">reported </w:t>
      </w:r>
      <w:r w:rsidR="002E0B96">
        <w:rPr>
          <w:rFonts w:ascii="Times New Roman" w:hAnsi="Times New Roman" w:cs="Times New Roman"/>
          <w:bCs/>
        </w:rPr>
        <w:t>in January 2020</w:t>
      </w:r>
      <w:r w:rsidR="000F4528">
        <w:rPr>
          <w:rFonts w:ascii="Times New Roman" w:hAnsi="Times New Roman" w:cs="Times New Roman"/>
          <w:bCs/>
        </w:rPr>
        <w:t>.</w:t>
      </w:r>
      <w:r w:rsidR="00637E4F">
        <w:rPr>
          <w:rFonts w:ascii="Times New Roman" w:hAnsi="Times New Roman" w:cs="Times New Roman"/>
          <w:bCs/>
        </w:rPr>
        <w:t xml:space="preserve"> </w:t>
      </w:r>
      <w:r w:rsidR="000679C4">
        <w:rPr>
          <w:rFonts w:ascii="Times New Roman" w:hAnsi="Times New Roman" w:cs="Times New Roman"/>
          <w:bCs/>
        </w:rPr>
        <w:t xml:space="preserve">Though </w:t>
      </w:r>
      <w:r w:rsidR="00472BB9">
        <w:rPr>
          <w:rFonts w:ascii="Times New Roman" w:hAnsi="Times New Roman" w:cs="Times New Roman"/>
          <w:bCs/>
        </w:rPr>
        <w:t>it has remained under 4%</w:t>
      </w:r>
      <w:r w:rsidR="00015185">
        <w:rPr>
          <w:rFonts w:ascii="Times New Roman" w:hAnsi="Times New Roman" w:cs="Times New Roman"/>
          <w:bCs/>
        </w:rPr>
        <w:t xml:space="preserve"> for over a year</w:t>
      </w:r>
      <w:r w:rsidR="00472BB9">
        <w:rPr>
          <w:rFonts w:ascii="Times New Roman" w:hAnsi="Times New Roman" w:cs="Times New Roman"/>
          <w:bCs/>
        </w:rPr>
        <w:t xml:space="preserve">, </w:t>
      </w:r>
      <w:r w:rsidR="000679C4">
        <w:rPr>
          <w:rFonts w:ascii="Times New Roman" w:hAnsi="Times New Roman" w:cs="Times New Roman"/>
          <w:bCs/>
        </w:rPr>
        <w:t>b</w:t>
      </w:r>
      <w:r w:rsidR="000E7205">
        <w:rPr>
          <w:rFonts w:ascii="Times New Roman" w:hAnsi="Times New Roman" w:cs="Times New Roman"/>
          <w:bCs/>
        </w:rPr>
        <w:t>usiness inflation expect</w:t>
      </w:r>
      <w:r w:rsidR="00C77E05">
        <w:rPr>
          <w:rFonts w:ascii="Times New Roman" w:hAnsi="Times New Roman" w:cs="Times New Roman"/>
          <w:bCs/>
        </w:rPr>
        <w:t xml:space="preserve">ation has </w:t>
      </w:r>
      <w:r w:rsidR="00351891">
        <w:rPr>
          <w:rFonts w:ascii="Times New Roman" w:hAnsi="Times New Roman" w:cs="Times New Roman"/>
          <w:bCs/>
        </w:rPr>
        <w:t xml:space="preserve">been </w:t>
      </w:r>
      <w:r w:rsidR="00472BB9">
        <w:rPr>
          <w:rFonts w:ascii="Times New Roman" w:hAnsi="Times New Roman" w:cs="Times New Roman"/>
          <w:bCs/>
        </w:rPr>
        <w:t xml:space="preserve">steadily increasing </w:t>
      </w:r>
      <w:r w:rsidR="00351891">
        <w:rPr>
          <w:rFonts w:ascii="Times New Roman" w:hAnsi="Times New Roman" w:cs="Times New Roman"/>
          <w:bCs/>
        </w:rPr>
        <w:t>since October 2019.</w:t>
      </w:r>
      <w:r w:rsidR="000E7205">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 xml:space="preserve">Uncertainty of business inflation expectation,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remained around </w:t>
      </w:r>
      <w:r w:rsidR="00164F51">
        <w:rPr>
          <w:rFonts w:ascii="Times New Roman" w:hAnsi="Times New Roman" w:cs="Times New Roman"/>
          <w:bCs/>
        </w:rPr>
        <w:t xml:space="preserve">2% </w:t>
      </w:r>
      <w:r w:rsidR="00015185">
        <w:rPr>
          <w:rFonts w:ascii="Times New Roman" w:hAnsi="Times New Roman" w:cs="Times New Roman"/>
          <w:bCs/>
        </w:rPr>
        <w:t>from</w:t>
      </w:r>
      <w:r w:rsidR="00E22CE6">
        <w:rPr>
          <w:rFonts w:ascii="Times New Roman" w:hAnsi="Times New Roman" w:cs="Times New Roman"/>
          <w:bCs/>
        </w:rPr>
        <w:t xml:space="preserve"> </w:t>
      </w:r>
      <w:r w:rsidR="00164F51">
        <w:rPr>
          <w:rFonts w:ascii="Times New Roman" w:hAnsi="Times New Roman" w:cs="Times New Roman"/>
          <w:bCs/>
        </w:rPr>
        <w:t>December 2019</w:t>
      </w:r>
      <w:r w:rsidR="00015185">
        <w:rPr>
          <w:rFonts w:ascii="Times New Roman" w:hAnsi="Times New Roman" w:cs="Times New Roman"/>
          <w:bCs/>
        </w:rPr>
        <w:t xml:space="preserve"> to February 2020</w:t>
      </w:r>
      <w:r w:rsidRPr="00FC49EB">
        <w:rPr>
          <w:rFonts w:ascii="Times New Roman" w:hAnsi="Times New Roman" w:cs="Times New Roman"/>
          <w:bCs/>
        </w:rPr>
        <w:t>.</w:t>
      </w:r>
    </w:p>
    <w:p w:rsidR="000F5617" w:rsidRDefault="000F5617" w:rsidP="001D09C4">
      <w:pPr>
        <w:spacing w:after="0" w:line="240" w:lineRule="auto"/>
        <w:jc w:val="center"/>
        <w:rPr>
          <w:rFonts w:ascii="Times New Roman" w:hAnsi="Times New Roman" w:cs="Times New Roman"/>
          <w:b/>
        </w:rPr>
      </w:pPr>
    </w:p>
    <w:p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rsidR="00564E29" w:rsidRDefault="00564E29" w:rsidP="001D09C4">
      <w:pPr>
        <w:spacing w:after="0" w:line="240" w:lineRule="auto"/>
        <w:jc w:val="center"/>
        <w:rPr>
          <w:rFonts w:ascii="Times New Roman" w:hAnsi="Times New Roman" w:cs="Times New Roman"/>
          <w:b/>
        </w:rPr>
      </w:pPr>
    </w:p>
    <w:p w:rsidR="006E4700" w:rsidRDefault="004136A1" w:rsidP="001D09C4">
      <w:pPr>
        <w:spacing w:after="0" w:line="240" w:lineRule="auto"/>
        <w:jc w:val="center"/>
        <w:rPr>
          <w:noProof/>
          <w:lang w:eastAsia="en-IN"/>
        </w:rPr>
      </w:pPr>
      <w:r>
        <w:rPr>
          <w:noProof/>
          <w:lang w:eastAsia="en-IN"/>
        </w:rPr>
        <w:lastRenderedPageBreak/>
        <w:drawing>
          <wp:inline distT="0" distB="0" distL="0" distR="0">
            <wp:extent cx="5010150" cy="26098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0231" w:rsidRDefault="00D30231" w:rsidP="001D09C4">
      <w:pPr>
        <w:spacing w:after="0" w:line="240" w:lineRule="auto"/>
        <w:jc w:val="center"/>
        <w:rPr>
          <w:noProof/>
          <w:lang w:eastAsia="en-IN"/>
        </w:rPr>
      </w:pPr>
    </w:p>
    <w:p w:rsidR="004136A1" w:rsidRDefault="004136A1" w:rsidP="004136A1">
      <w:pPr>
        <w:spacing w:after="0" w:line="240" w:lineRule="auto"/>
        <w:jc w:val="center"/>
        <w:rPr>
          <w:noProof/>
          <w:lang w:eastAsia="en-IN"/>
        </w:rPr>
      </w:pPr>
    </w:p>
    <w:p w:rsidR="004136A1" w:rsidRPr="00F046DB" w:rsidRDefault="004136A1" w:rsidP="004136A1">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rsidR="004136A1" w:rsidRPr="00BD4062" w:rsidRDefault="004136A1" w:rsidP="004136A1">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rsidR="004136A1" w:rsidRPr="00025620" w:rsidRDefault="004136A1" w:rsidP="004136A1">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2E1564">
        <w:rPr>
          <w:rFonts w:ascii="Times New Roman" w:hAnsi="Times New Roman" w:cs="Times New Roman"/>
          <w:bCs/>
        </w:rPr>
        <w:t xml:space="preserve">February 2020 </w:t>
      </w:r>
      <w:r w:rsidRPr="0086778C">
        <w:rPr>
          <w:rFonts w:ascii="Times New Roman" w:hAnsi="Times New Roman" w:cs="Times New Roman"/>
          <w:bCs/>
        </w:rPr>
        <w:t xml:space="preserve">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sidR="002E1564">
        <w:rPr>
          <w:rFonts w:ascii="Times New Roman" w:hAnsi="Times New Roman" w:cs="Times New Roman"/>
          <w:bCs/>
        </w:rPr>
        <w:t xml:space="preserve">4.03%, </w:t>
      </w:r>
      <w:r w:rsidR="00483060">
        <w:rPr>
          <w:rFonts w:ascii="Times New Roman" w:hAnsi="Times New Roman" w:cs="Times New Roman"/>
          <w:bCs/>
        </w:rPr>
        <w:t xml:space="preserve">slightly </w:t>
      </w:r>
      <w:r w:rsidR="002E1564">
        <w:rPr>
          <w:rFonts w:ascii="Times New Roman" w:hAnsi="Times New Roman" w:cs="Times New Roman"/>
          <w:bCs/>
        </w:rPr>
        <w:t xml:space="preserve">down from </w:t>
      </w:r>
      <w:r>
        <w:rPr>
          <w:rFonts w:ascii="Times New Roman" w:hAnsi="Times New Roman" w:cs="Times New Roman"/>
          <w:bCs/>
        </w:rPr>
        <w:t>4.22%</w:t>
      </w:r>
      <w:r w:rsidR="002E1564">
        <w:rPr>
          <w:rFonts w:ascii="Times New Roman" w:hAnsi="Times New Roman" w:cs="Times New Roman"/>
          <w:bCs/>
        </w:rPr>
        <w:t xml:space="preserve"> reported in December 2019</w:t>
      </w:r>
      <w:r w:rsidRPr="0086778C">
        <w:rPr>
          <w:rFonts w:ascii="Times New Roman" w:hAnsi="Times New Roman" w:cs="Times New Roman"/>
          <w:bCs/>
        </w:rPr>
        <w:t xml:space="preserve">, with a relatively low standard deviation of </w:t>
      </w:r>
      <w:r>
        <w:rPr>
          <w:rFonts w:ascii="Times New Roman" w:hAnsi="Times New Roman" w:cs="Times New Roman"/>
          <w:bCs/>
        </w:rPr>
        <w:t xml:space="preserve">around </w:t>
      </w:r>
      <w:r w:rsidRPr="0086778C">
        <w:rPr>
          <w:rFonts w:ascii="Times New Roman" w:hAnsi="Times New Roman" w:cs="Times New Roman"/>
          <w:bCs/>
        </w:rPr>
        <w:t>1.</w:t>
      </w:r>
      <w:r>
        <w:rPr>
          <w:rFonts w:ascii="Times New Roman" w:hAnsi="Times New Roman" w:cs="Times New Roman"/>
          <w:bCs/>
        </w:rPr>
        <w:t>0</w:t>
      </w:r>
      <w:r w:rsidRPr="0086778C">
        <w:rPr>
          <w:rFonts w:ascii="Times New Roman" w:hAnsi="Times New Roman" w:cs="Times New Roman"/>
          <w:bCs/>
        </w:rPr>
        <w:t>% (Chart 2).</w:t>
      </w:r>
      <w:r>
        <w:rPr>
          <w:rFonts w:ascii="Times New Roman" w:hAnsi="Times New Roman" w:cs="Times New Roman"/>
          <w:bCs/>
        </w:rPr>
        <w:t xml:space="preserve"> </w:t>
      </w:r>
    </w:p>
    <w:p w:rsidR="004136A1" w:rsidRDefault="004136A1" w:rsidP="004136A1">
      <w:pPr>
        <w:spacing w:after="0" w:line="240" w:lineRule="auto"/>
        <w:jc w:val="center"/>
        <w:rPr>
          <w:rFonts w:ascii="Times New Roman" w:hAnsi="Times New Roman" w:cs="Times New Roman"/>
          <w:b/>
        </w:rPr>
      </w:pPr>
    </w:p>
    <w:p w:rsidR="004136A1" w:rsidRDefault="004136A1" w:rsidP="004136A1">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(one year ahead)</w:t>
      </w:r>
    </w:p>
    <w:p w:rsidR="004136A1" w:rsidRDefault="004136A1" w:rsidP="004136A1">
      <w:pPr>
        <w:spacing w:after="0" w:line="240" w:lineRule="auto"/>
        <w:jc w:val="center"/>
        <w:rPr>
          <w:rFonts w:ascii="Times New Roman" w:hAnsi="Times New Roman" w:cs="Times New Roman"/>
          <w:b/>
        </w:rPr>
      </w:pPr>
    </w:p>
    <w:p w:rsidR="004136A1" w:rsidRDefault="000E410F" w:rsidP="004136A1">
      <w:pPr>
        <w:spacing w:after="0" w:line="240" w:lineRule="auto"/>
        <w:jc w:val="center"/>
        <w:rPr>
          <w:rFonts w:ascii="Times New Roman" w:hAnsi="Times New Roman" w:cs="Times New Roman"/>
          <w:b/>
        </w:rPr>
      </w:pPr>
      <w:r>
        <w:rPr>
          <w:noProof/>
          <w:lang w:eastAsia="en-IN"/>
        </w:rPr>
        <w:drawing>
          <wp:inline distT="0" distB="0" distL="0" distR="0">
            <wp:extent cx="5210175" cy="24098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rsidR="004136A1" w:rsidRDefault="004136A1" w:rsidP="004136A1">
      <w:pPr>
        <w:spacing w:after="0" w:line="240" w:lineRule="auto"/>
        <w:jc w:val="center"/>
        <w:rPr>
          <w:rFonts w:ascii="Times New Roman" w:hAnsi="Times New Roman" w:cs="Times New Roman"/>
          <w:b/>
        </w:rPr>
      </w:pPr>
    </w:p>
    <w:p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rsidR="007D3B9A" w:rsidRDefault="007D3B9A" w:rsidP="00AA63A1">
      <w:pPr>
        <w:spacing w:after="0" w:line="240" w:lineRule="auto"/>
        <w:rPr>
          <w:rFonts w:ascii="Times New Roman" w:hAnsi="Times New Roman" w:cs="Times New Roman"/>
          <w:b/>
          <w:bCs/>
        </w:rPr>
      </w:pPr>
    </w:p>
    <w:p w:rsidR="00CC1C45" w:rsidRDefault="005517F3" w:rsidP="002B1A57">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DB27C4">
        <w:rPr>
          <w:rFonts w:ascii="Times New Roman" w:hAnsi="Times New Roman" w:cs="Times New Roman"/>
        </w:rPr>
        <w:t xml:space="preserve">early </w:t>
      </w:r>
      <w:r w:rsidR="00320D86" w:rsidRPr="00320D86">
        <w:rPr>
          <w:rFonts w:ascii="Times New Roman" w:hAnsi="Times New Roman" w:cs="Times New Roman"/>
        </w:rPr>
        <w:t>signs of cost pressures building up</w:t>
      </w:r>
      <w:r w:rsidR="00DB27C4">
        <w:rPr>
          <w:rFonts w:ascii="Times New Roman" w:hAnsi="Times New Roman" w:cs="Times New Roman"/>
        </w:rPr>
        <w:t>.</w:t>
      </w:r>
      <w:r w:rsidR="00320D86" w:rsidRPr="00320D86">
        <w:rPr>
          <w:rFonts w:ascii="Times New Roman" w:hAnsi="Times New Roman" w:cs="Times New Roman"/>
        </w:rPr>
        <w:t xml:space="preserve"> </w:t>
      </w:r>
    </w:p>
    <w:p w:rsidR="00CC1C45" w:rsidRDefault="00CC1C45" w:rsidP="00CC1C45">
      <w:pPr>
        <w:pStyle w:val="ListParagraph"/>
        <w:spacing w:after="0" w:line="240" w:lineRule="auto"/>
        <w:jc w:val="both"/>
        <w:rPr>
          <w:rFonts w:ascii="Times New Roman" w:hAnsi="Times New Roman" w:cs="Times New Roman"/>
        </w:rPr>
      </w:pPr>
    </w:p>
    <w:p w:rsidR="009872D1" w:rsidRPr="009872D1" w:rsidRDefault="00DB27C4" w:rsidP="009872D1">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Now, n</w:t>
      </w:r>
      <w:r w:rsidR="00CC1C45">
        <w:rPr>
          <w:rFonts w:ascii="Times New Roman" w:hAnsi="Times New Roman" w:cs="Times New Roman"/>
        </w:rPr>
        <w:t xml:space="preserve">early </w:t>
      </w:r>
      <w:r>
        <w:rPr>
          <w:rFonts w:ascii="Times New Roman" w:hAnsi="Times New Roman" w:cs="Times New Roman"/>
        </w:rPr>
        <w:t>50</w:t>
      </w:r>
      <w:r w:rsidR="00CC1C45">
        <w:rPr>
          <w:rFonts w:ascii="Times New Roman" w:hAnsi="Times New Roman" w:cs="Times New Roman"/>
        </w:rPr>
        <w:t xml:space="preserve">% of the firms believe that the current cost increase is 3.1% and </w:t>
      </w:r>
      <w:r w:rsidR="00F765CE">
        <w:rPr>
          <w:rFonts w:ascii="Times New Roman" w:hAnsi="Times New Roman" w:cs="Times New Roman"/>
        </w:rPr>
        <w:t>above</w:t>
      </w:r>
      <w:r w:rsidR="000872BA">
        <w:rPr>
          <w:rFonts w:ascii="Times New Roman" w:hAnsi="Times New Roman" w:cs="Times New Roman"/>
        </w:rPr>
        <w:t xml:space="preserve"> as compared to the same time last year</w:t>
      </w:r>
      <w:r w:rsidR="00CC1C45">
        <w:rPr>
          <w:rFonts w:ascii="Times New Roman" w:hAnsi="Times New Roman" w:cs="Times New Roman"/>
        </w:rPr>
        <w:t xml:space="preserve">. </w:t>
      </w:r>
      <w:r w:rsidR="00E645D1">
        <w:rPr>
          <w:rFonts w:ascii="Times New Roman" w:hAnsi="Times New Roman" w:cs="Times New Roman"/>
        </w:rPr>
        <w:t>Over</w:t>
      </w:r>
      <w:r w:rsidR="000872BA">
        <w:rPr>
          <w:rFonts w:ascii="Times New Roman" w:hAnsi="Times New Roman" w:cs="Times New Roman"/>
        </w:rPr>
        <w:t xml:space="preserve"> </w:t>
      </w:r>
      <w:r>
        <w:rPr>
          <w:rFonts w:ascii="Times New Roman" w:hAnsi="Times New Roman" w:cs="Times New Roman"/>
        </w:rPr>
        <w:t>30%</w:t>
      </w:r>
      <w:r w:rsidR="000872BA">
        <w:rPr>
          <w:rFonts w:ascii="Times New Roman" w:hAnsi="Times New Roman" w:cs="Times New Roman"/>
        </w:rPr>
        <w:t xml:space="preserve"> of the firms perceive </w:t>
      </w:r>
      <w:r w:rsidR="00E645D1">
        <w:rPr>
          <w:rFonts w:ascii="Times New Roman" w:hAnsi="Times New Roman" w:cs="Times New Roman"/>
        </w:rPr>
        <w:t xml:space="preserve">that </w:t>
      </w:r>
      <w:r w:rsidR="000872BA">
        <w:rPr>
          <w:rFonts w:ascii="Times New Roman" w:hAnsi="Times New Roman" w:cs="Times New Roman"/>
        </w:rPr>
        <w:t>the current cost increase i</w:t>
      </w:r>
      <w:r w:rsidR="00E645D1">
        <w:rPr>
          <w:rFonts w:ascii="Times New Roman" w:hAnsi="Times New Roman" w:cs="Times New Roman"/>
        </w:rPr>
        <w:t>s</w:t>
      </w:r>
      <w:r w:rsidR="000872BA">
        <w:rPr>
          <w:rFonts w:ascii="Times New Roman" w:hAnsi="Times New Roman" w:cs="Times New Roman"/>
        </w:rPr>
        <w:t xml:space="preserve"> over 6%</w:t>
      </w:r>
      <w:r w:rsidR="00A23CB7">
        <w:rPr>
          <w:rFonts w:ascii="Times New Roman" w:hAnsi="Times New Roman" w:cs="Times New Roman"/>
        </w:rPr>
        <w:t>. Importantly,</w:t>
      </w:r>
      <w:r>
        <w:rPr>
          <w:rFonts w:ascii="Times New Roman" w:hAnsi="Times New Roman" w:cs="Times New Roman"/>
        </w:rPr>
        <w:t xml:space="preserve"> over 15% firms </w:t>
      </w:r>
      <w:r w:rsidR="00A23CB7">
        <w:rPr>
          <w:rFonts w:ascii="Times New Roman" w:hAnsi="Times New Roman" w:cs="Times New Roman"/>
        </w:rPr>
        <w:t xml:space="preserve">now </w:t>
      </w:r>
      <w:r>
        <w:rPr>
          <w:rFonts w:ascii="Times New Roman" w:hAnsi="Times New Roman" w:cs="Times New Roman"/>
        </w:rPr>
        <w:t xml:space="preserve">perceive that current cost increase </w:t>
      </w:r>
      <w:r w:rsidR="00A23CB7">
        <w:rPr>
          <w:rFonts w:ascii="Times New Roman" w:hAnsi="Times New Roman" w:cs="Times New Roman"/>
        </w:rPr>
        <w:t>is over 10%</w:t>
      </w:r>
      <w:r w:rsidR="000872BA">
        <w:rPr>
          <w:rFonts w:ascii="Times New Roman" w:hAnsi="Times New Roman" w:cs="Times New Roman"/>
        </w:rPr>
        <w:t xml:space="preserve"> </w:t>
      </w:r>
      <w:r w:rsidR="009B4441">
        <w:rPr>
          <w:rFonts w:ascii="Times New Roman" w:hAnsi="Times New Roman" w:cs="Times New Roman"/>
        </w:rPr>
        <w:t xml:space="preserve">(Chart </w:t>
      </w:r>
      <w:r>
        <w:rPr>
          <w:rFonts w:ascii="Times New Roman" w:hAnsi="Times New Roman" w:cs="Times New Roman"/>
        </w:rPr>
        <w:t>3</w:t>
      </w:r>
      <w:r w:rsidR="00320D86">
        <w:rPr>
          <w:rFonts w:ascii="Times New Roman" w:hAnsi="Times New Roman" w:cs="Times New Roman"/>
        </w:rPr>
        <w:t>)</w:t>
      </w:r>
      <w:r w:rsidR="00435AC3" w:rsidRPr="00320D86">
        <w:rPr>
          <w:rFonts w:ascii="Times New Roman" w:hAnsi="Times New Roman" w:cs="Times New Roman"/>
        </w:rPr>
        <w:t>.</w:t>
      </w:r>
    </w:p>
    <w:p w:rsidR="00F503C6" w:rsidRDefault="00F503C6" w:rsidP="00F503C6">
      <w:pPr>
        <w:pStyle w:val="ListParagraph"/>
        <w:spacing w:after="0" w:line="240" w:lineRule="auto"/>
        <w:jc w:val="both"/>
        <w:rPr>
          <w:rFonts w:ascii="Times New Roman" w:hAnsi="Times New Roman" w:cs="Times New Roman"/>
        </w:rPr>
      </w:pPr>
    </w:p>
    <w:p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D230FA">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rsidR="009872D1" w:rsidRDefault="009872D1" w:rsidP="00AA63A1">
      <w:pPr>
        <w:spacing w:after="0" w:line="240" w:lineRule="auto"/>
        <w:jc w:val="center"/>
        <w:rPr>
          <w:rFonts w:ascii="Times New Roman" w:hAnsi="Times New Roman" w:cs="Times New Roman"/>
          <w:b/>
          <w:bCs/>
          <w:lang w:val="en-US"/>
        </w:rPr>
      </w:pPr>
    </w:p>
    <w:p w:rsidR="009872D1" w:rsidRDefault="009872D1" w:rsidP="00AA63A1">
      <w:pPr>
        <w:spacing w:after="0" w:line="240" w:lineRule="auto"/>
        <w:jc w:val="center"/>
        <w:rPr>
          <w:rFonts w:ascii="Times New Roman" w:hAnsi="Times New Roman" w:cs="Times New Roman"/>
          <w:b/>
          <w:bCs/>
          <w:lang w:val="en-US"/>
        </w:rPr>
      </w:pPr>
      <w:r>
        <w:rPr>
          <w:noProof/>
          <w:lang w:eastAsia="en-IN"/>
        </w:rPr>
        <w:lastRenderedPageBreak/>
        <w:drawing>
          <wp:inline distT="0" distB="0" distL="0" distR="0">
            <wp:extent cx="5236210" cy="2438400"/>
            <wp:effectExtent l="0" t="0" r="25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5185" w:rsidRDefault="00015185" w:rsidP="002E5927">
      <w:pPr>
        <w:spacing w:after="0" w:line="240" w:lineRule="auto"/>
        <w:jc w:val="both"/>
        <w:rPr>
          <w:rFonts w:ascii="Times New Roman" w:hAnsi="Times New Roman" w:cs="Times New Roman"/>
          <w:b/>
        </w:rPr>
      </w:pPr>
    </w:p>
    <w:p w:rsidR="00015185" w:rsidRDefault="00015185" w:rsidP="002E5927">
      <w:pPr>
        <w:spacing w:after="0" w:line="240" w:lineRule="auto"/>
        <w:jc w:val="both"/>
        <w:rPr>
          <w:rFonts w:ascii="Times New Roman" w:hAnsi="Times New Roman" w:cs="Times New Roman"/>
          <w:b/>
        </w:rPr>
      </w:pPr>
    </w:p>
    <w:p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rsidR="002E5927" w:rsidRPr="002E5927" w:rsidRDefault="002E5927" w:rsidP="002E5927">
      <w:pPr>
        <w:spacing w:after="0" w:line="240" w:lineRule="auto"/>
        <w:jc w:val="both"/>
        <w:rPr>
          <w:rFonts w:ascii="Times New Roman" w:hAnsi="Times New Roman" w:cs="Times New Roman"/>
          <w:b/>
        </w:rPr>
      </w:pPr>
    </w:p>
    <w:p w:rsidR="00CF0884" w:rsidRPr="003A3568" w:rsidRDefault="003A3568" w:rsidP="00E849D7">
      <w:pPr>
        <w:pStyle w:val="ListParagraph"/>
        <w:numPr>
          <w:ilvl w:val="0"/>
          <w:numId w:val="7"/>
        </w:numPr>
        <w:spacing w:after="0" w:line="240" w:lineRule="auto"/>
        <w:jc w:val="both"/>
        <w:rPr>
          <w:rFonts w:ascii="Times New Roman" w:hAnsi="Times New Roman" w:cs="Times New Roman"/>
          <w:b/>
        </w:rPr>
      </w:pPr>
      <w:r w:rsidRPr="003A3568">
        <w:rPr>
          <w:rFonts w:ascii="Times New Roman" w:hAnsi="Times New Roman" w:cs="Times New Roman"/>
        </w:rPr>
        <w:t>In February</w:t>
      </w:r>
      <w:r>
        <w:rPr>
          <w:rFonts w:ascii="Times New Roman" w:hAnsi="Times New Roman" w:cs="Times New Roman"/>
        </w:rPr>
        <w:t xml:space="preserve"> 2020</w:t>
      </w:r>
      <w:r w:rsidRPr="003A3568">
        <w:rPr>
          <w:rFonts w:ascii="Times New Roman" w:hAnsi="Times New Roman" w:cs="Times New Roman"/>
        </w:rPr>
        <w:t>, over 64% of the firms report that sales are much less than normal</w:t>
      </w:r>
      <w:r>
        <w:rPr>
          <w:rFonts w:ascii="Times New Roman" w:hAnsi="Times New Roman" w:cs="Times New Roman"/>
        </w:rPr>
        <w:t xml:space="preserve"> as against 45% reported in January 2020</w:t>
      </w:r>
      <w:r w:rsidRPr="003A3568">
        <w:rPr>
          <w:rFonts w:ascii="Times New Roman" w:hAnsi="Times New Roman" w:cs="Times New Roman"/>
        </w:rPr>
        <w:t xml:space="preserve">. </w:t>
      </w:r>
    </w:p>
    <w:p w:rsidR="003A3568" w:rsidRPr="003A3568" w:rsidRDefault="003A3568" w:rsidP="003A3568">
      <w:pPr>
        <w:pStyle w:val="ListParagraph"/>
        <w:spacing w:after="0" w:line="240" w:lineRule="auto"/>
        <w:jc w:val="both"/>
        <w:rPr>
          <w:rFonts w:ascii="Times New Roman" w:hAnsi="Times New Roman" w:cs="Times New Roman"/>
          <w:b/>
        </w:rPr>
      </w:pPr>
    </w:p>
    <w:p w:rsidR="00CF0884" w:rsidRPr="00015185" w:rsidRDefault="003A3568" w:rsidP="00CF0884">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A</w:t>
      </w:r>
      <w:r w:rsidR="00CF0884">
        <w:rPr>
          <w:rFonts w:ascii="Times New Roman" w:hAnsi="Times New Roman" w:cs="Times New Roman"/>
        </w:rPr>
        <w:t xml:space="preserve">round </w:t>
      </w:r>
      <w:r>
        <w:rPr>
          <w:rFonts w:ascii="Times New Roman" w:hAnsi="Times New Roman" w:cs="Times New Roman"/>
        </w:rPr>
        <w:t>85</w:t>
      </w:r>
      <w:r w:rsidR="00CF0884">
        <w:rPr>
          <w:rFonts w:ascii="Times New Roman" w:hAnsi="Times New Roman" w:cs="Times New Roman"/>
        </w:rPr>
        <w:t xml:space="preserve">% of the firms </w:t>
      </w:r>
      <w:r w:rsidR="00CF0884" w:rsidRPr="001655AC">
        <w:rPr>
          <w:rFonts w:ascii="Times New Roman" w:hAnsi="Times New Roman" w:cs="Times New Roman"/>
        </w:rPr>
        <w:t>in the sample report that sales are ‘</w:t>
      </w:r>
      <w:r w:rsidR="00CF0884">
        <w:rPr>
          <w:rFonts w:ascii="Times New Roman" w:hAnsi="Times New Roman" w:cs="Times New Roman"/>
        </w:rPr>
        <w:t xml:space="preserve">somewhat or much less </w:t>
      </w:r>
      <w:r w:rsidR="00CF0884" w:rsidRPr="001655AC">
        <w:rPr>
          <w:rFonts w:ascii="Times New Roman" w:hAnsi="Times New Roman" w:cs="Times New Roman"/>
        </w:rPr>
        <w:t>than normal’</w:t>
      </w:r>
      <w:r w:rsidR="00CF0884">
        <w:rPr>
          <w:rStyle w:val="FootnoteReference"/>
          <w:rFonts w:ascii="Times New Roman" w:hAnsi="Times New Roman" w:cs="Times New Roman"/>
        </w:rPr>
        <w:footnoteReference w:id="1"/>
      </w:r>
      <w:r w:rsidR="00CF0884">
        <w:rPr>
          <w:rFonts w:ascii="Times New Roman" w:hAnsi="Times New Roman" w:cs="Times New Roman"/>
        </w:rPr>
        <w:t xml:space="preserve"> as against </w:t>
      </w:r>
      <w:r w:rsidR="00A3270F">
        <w:rPr>
          <w:rFonts w:ascii="Times New Roman" w:hAnsi="Times New Roman" w:cs="Times New Roman"/>
        </w:rPr>
        <w:t>7</w:t>
      </w:r>
      <w:r>
        <w:rPr>
          <w:rFonts w:ascii="Times New Roman" w:hAnsi="Times New Roman" w:cs="Times New Roman"/>
        </w:rPr>
        <w:t>0</w:t>
      </w:r>
      <w:r w:rsidR="00CF0884">
        <w:rPr>
          <w:rFonts w:ascii="Times New Roman" w:hAnsi="Times New Roman" w:cs="Times New Roman"/>
        </w:rPr>
        <w:t>% report</w:t>
      </w:r>
      <w:r w:rsidR="00726865">
        <w:rPr>
          <w:rFonts w:ascii="Times New Roman" w:hAnsi="Times New Roman" w:cs="Times New Roman"/>
        </w:rPr>
        <w:t>ing</w:t>
      </w:r>
      <w:r w:rsidR="00CF0884">
        <w:rPr>
          <w:rFonts w:ascii="Times New Roman" w:hAnsi="Times New Roman" w:cs="Times New Roman"/>
        </w:rPr>
        <w:t xml:space="preserve"> in </w:t>
      </w:r>
      <w:r>
        <w:rPr>
          <w:rFonts w:ascii="Times New Roman" w:hAnsi="Times New Roman" w:cs="Times New Roman"/>
        </w:rPr>
        <w:t>January 2020</w:t>
      </w:r>
      <w:r w:rsidR="00CF0884">
        <w:rPr>
          <w:rFonts w:ascii="Times New Roman" w:hAnsi="Times New Roman" w:cs="Times New Roman"/>
        </w:rPr>
        <w:t xml:space="preserve"> </w:t>
      </w:r>
      <w:r w:rsidR="00CF0884" w:rsidRPr="001655AC">
        <w:rPr>
          <w:rFonts w:ascii="Times New Roman" w:hAnsi="Times New Roman" w:cs="Times New Roman"/>
        </w:rPr>
        <w:t xml:space="preserve">(Chart </w:t>
      </w:r>
      <w:r w:rsidR="00D230FA">
        <w:rPr>
          <w:rFonts w:ascii="Times New Roman" w:hAnsi="Times New Roman" w:cs="Times New Roman"/>
        </w:rPr>
        <w:t>4</w:t>
      </w:r>
      <w:r w:rsidR="00CF0884" w:rsidRPr="001655AC">
        <w:rPr>
          <w:rFonts w:ascii="Times New Roman" w:hAnsi="Times New Roman" w:cs="Times New Roman"/>
        </w:rPr>
        <w:t xml:space="preserve">). </w:t>
      </w:r>
      <w:r>
        <w:rPr>
          <w:rFonts w:ascii="Times New Roman" w:hAnsi="Times New Roman" w:cs="Times New Roman"/>
        </w:rPr>
        <w:t>Note that t</w:t>
      </w:r>
      <w:r w:rsidR="00CF0884">
        <w:rPr>
          <w:rFonts w:ascii="Times New Roman" w:hAnsi="Times New Roman" w:cs="Times New Roman"/>
        </w:rPr>
        <w:t xml:space="preserve">his proportion has remained around 70% since June 2019.  </w:t>
      </w:r>
    </w:p>
    <w:p w:rsidR="00015185" w:rsidRPr="00015185" w:rsidRDefault="00015185" w:rsidP="00015185">
      <w:pPr>
        <w:pStyle w:val="ListParagraph"/>
        <w:rPr>
          <w:rFonts w:ascii="Times New Roman" w:hAnsi="Times New Roman" w:cs="Times New Roman"/>
          <w:b/>
        </w:rPr>
      </w:pPr>
    </w:p>
    <w:p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D230FA">
        <w:rPr>
          <w:rFonts w:ascii="Times New Roman" w:hAnsi="Times New Roman" w:cs="Times New Roman"/>
          <w:b/>
          <w:bCs/>
        </w:rPr>
        <w:t>4</w:t>
      </w:r>
      <w:r w:rsidRPr="001D09C4">
        <w:rPr>
          <w:rFonts w:ascii="Times New Roman" w:hAnsi="Times New Roman" w:cs="Times New Roman"/>
          <w:b/>
          <w:bCs/>
        </w:rPr>
        <w:t>: Sales Levels - % response</w:t>
      </w:r>
    </w:p>
    <w:p w:rsidR="008E3537" w:rsidRDefault="008E3537" w:rsidP="003742DC">
      <w:pPr>
        <w:pStyle w:val="ListParagraph"/>
        <w:spacing w:after="0" w:line="240" w:lineRule="auto"/>
        <w:jc w:val="center"/>
        <w:rPr>
          <w:rFonts w:ascii="Times New Roman" w:hAnsi="Times New Roman" w:cs="Times New Roman"/>
          <w:b/>
          <w:bCs/>
        </w:rPr>
      </w:pPr>
    </w:p>
    <w:p w:rsidR="001B402A" w:rsidRDefault="00654ABC" w:rsidP="003742DC">
      <w:pPr>
        <w:pStyle w:val="ListParagraph"/>
        <w:spacing w:after="0" w:line="240" w:lineRule="auto"/>
        <w:jc w:val="center"/>
        <w:rPr>
          <w:noProof/>
          <w:lang w:val="en-IN" w:eastAsia="en-IN"/>
        </w:rPr>
      </w:pPr>
      <w:r>
        <w:rPr>
          <w:noProof/>
          <w:lang w:val="en-IN" w:eastAsia="en-IN"/>
        </w:rPr>
        <w:drawing>
          <wp:inline distT="0" distB="0" distL="0" distR="0">
            <wp:extent cx="5181600" cy="206692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4ABC" w:rsidRDefault="00654ABC" w:rsidP="003742DC">
      <w:pPr>
        <w:pStyle w:val="ListParagraph"/>
        <w:spacing w:after="0" w:line="240" w:lineRule="auto"/>
        <w:jc w:val="center"/>
        <w:rPr>
          <w:noProof/>
          <w:lang w:val="en-IN" w:eastAsia="en-IN"/>
        </w:rPr>
      </w:pPr>
    </w:p>
    <w:p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rsidR="003705BC" w:rsidRPr="004C6586" w:rsidRDefault="003705BC" w:rsidP="001D09C4">
      <w:pPr>
        <w:spacing w:after="0" w:line="240" w:lineRule="auto"/>
        <w:jc w:val="both"/>
        <w:rPr>
          <w:rFonts w:ascii="Times New Roman" w:hAnsi="Times New Roman" w:cs="Times New Roman"/>
          <w:b/>
          <w:bCs/>
        </w:rPr>
      </w:pPr>
    </w:p>
    <w:p w:rsidR="004426F5" w:rsidRPr="004426F5" w:rsidRDefault="00E44457" w:rsidP="001014EC">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T</w:t>
      </w:r>
      <w:r w:rsidRPr="002027FF">
        <w:rPr>
          <w:rFonts w:ascii="Times New Roman" w:hAnsi="Times New Roman" w:cs="Times New Roman"/>
        </w:rPr>
        <w:t>he proportion of firms in the sample reporting ‘much less than normal</w:t>
      </w:r>
      <w:r>
        <w:rPr>
          <w:rFonts w:ascii="Times New Roman" w:hAnsi="Times New Roman" w:cs="Times New Roman"/>
        </w:rPr>
        <w:t xml:space="preserve">’ profit has jumped up by over 20% to 65% in February 2020. Over 87% of the firms in </w:t>
      </w:r>
      <w:r w:rsidR="00E328CB" w:rsidRPr="002027FF">
        <w:rPr>
          <w:rFonts w:ascii="Times New Roman" w:hAnsi="Times New Roman" w:cs="Times New Roman"/>
        </w:rPr>
        <w:t xml:space="preserve">the sample </w:t>
      </w:r>
      <w:r>
        <w:rPr>
          <w:rFonts w:ascii="Times New Roman" w:hAnsi="Times New Roman" w:cs="Times New Roman"/>
        </w:rPr>
        <w:t>expect</w:t>
      </w:r>
      <w:r w:rsidR="00E328CB" w:rsidRPr="002027FF">
        <w:rPr>
          <w:rFonts w:ascii="Times New Roman" w:hAnsi="Times New Roman" w:cs="Times New Roman"/>
        </w:rPr>
        <w:t xml:space="preserve"> ‘much less than normal</w:t>
      </w:r>
      <w:r w:rsidR="00A3270F">
        <w:rPr>
          <w:rFonts w:ascii="Times New Roman" w:hAnsi="Times New Roman" w:cs="Times New Roman"/>
        </w:rPr>
        <w:t xml:space="preserve"> or somewhat less than normal</w:t>
      </w:r>
      <w:r w:rsidR="00E328CB" w:rsidRPr="002027FF">
        <w:rPr>
          <w:rFonts w:ascii="Times New Roman" w:hAnsi="Times New Roman" w:cs="Times New Roman"/>
        </w:rPr>
        <w:t>’ profit margins</w:t>
      </w:r>
      <w:r>
        <w:rPr>
          <w:rFonts w:ascii="Times New Roman" w:hAnsi="Times New Roman" w:cs="Times New Roman"/>
        </w:rPr>
        <w:t xml:space="preserve"> (Chart 5). Note that this proportion has remained</w:t>
      </w:r>
      <w:r w:rsidR="002264C8">
        <w:rPr>
          <w:rFonts w:ascii="Times New Roman" w:hAnsi="Times New Roman" w:cs="Times New Roman"/>
        </w:rPr>
        <w:t xml:space="preserve"> </w:t>
      </w:r>
      <w:r w:rsidR="00A3270F">
        <w:rPr>
          <w:rFonts w:ascii="Times New Roman" w:hAnsi="Times New Roman" w:cs="Times New Roman"/>
        </w:rPr>
        <w:t>around 75</w:t>
      </w:r>
      <w:r w:rsidR="00E328CB" w:rsidRPr="002027FF">
        <w:rPr>
          <w:rFonts w:ascii="Times New Roman" w:hAnsi="Times New Roman" w:cs="Times New Roman"/>
        </w:rPr>
        <w:t>%</w:t>
      </w:r>
      <w:r w:rsidR="00C6596E">
        <w:rPr>
          <w:rFonts w:ascii="Times New Roman" w:hAnsi="Times New Roman" w:cs="Times New Roman"/>
        </w:rPr>
        <w:t xml:space="preserve"> </w:t>
      </w:r>
      <w:r>
        <w:rPr>
          <w:rFonts w:ascii="Times New Roman" w:hAnsi="Times New Roman" w:cs="Times New Roman"/>
        </w:rPr>
        <w:t>since June 2019</w:t>
      </w:r>
      <w:r w:rsidR="00E328CB" w:rsidRPr="002027FF">
        <w:rPr>
          <w:rFonts w:ascii="Times New Roman" w:hAnsi="Times New Roman" w:cs="Times New Roman"/>
        </w:rPr>
        <w:t>.</w:t>
      </w:r>
      <w:r w:rsidR="007A5CD7" w:rsidRPr="002027FF">
        <w:rPr>
          <w:rFonts w:ascii="Times New Roman" w:hAnsi="Times New Roman" w:cs="Times New Roman"/>
        </w:rPr>
        <w:t xml:space="preserve"> </w:t>
      </w:r>
    </w:p>
    <w:p w:rsidR="00435AC3" w:rsidRDefault="00435AC3" w:rsidP="00273D5F">
      <w:pPr>
        <w:spacing w:after="0" w:line="240" w:lineRule="auto"/>
        <w:ind w:left="360"/>
        <w:jc w:val="center"/>
        <w:rPr>
          <w:rFonts w:ascii="Times New Roman" w:hAnsi="Times New Roman" w:cs="Times New Roman"/>
          <w:b/>
          <w:bCs/>
          <w:lang w:val="en-US" w:bidi="hi-IN"/>
        </w:rPr>
      </w:pPr>
    </w:p>
    <w:p w:rsidR="005703C8"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8146BB">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rsidR="00015185" w:rsidRDefault="00015185" w:rsidP="00273D5F">
      <w:pPr>
        <w:spacing w:after="0" w:line="240" w:lineRule="auto"/>
        <w:ind w:left="360"/>
        <w:jc w:val="center"/>
        <w:rPr>
          <w:rFonts w:ascii="Times New Roman" w:hAnsi="Times New Roman" w:cs="Times New Roman"/>
          <w:b/>
          <w:bCs/>
          <w:lang w:val="en-US" w:bidi="hi-IN"/>
        </w:rPr>
      </w:pPr>
    </w:p>
    <w:p w:rsidR="005703C8" w:rsidRDefault="006A1871" w:rsidP="00273D5F">
      <w:pPr>
        <w:spacing w:after="0" w:line="240" w:lineRule="auto"/>
        <w:ind w:left="360"/>
        <w:jc w:val="center"/>
        <w:rPr>
          <w:rFonts w:ascii="Times New Roman" w:hAnsi="Times New Roman" w:cs="Times New Roman"/>
          <w:b/>
          <w:bCs/>
          <w:lang w:val="en-US" w:bidi="hi-IN"/>
        </w:rPr>
      </w:pPr>
      <w:r>
        <w:rPr>
          <w:noProof/>
          <w:lang w:eastAsia="en-IN"/>
        </w:rPr>
        <w:lastRenderedPageBreak/>
        <w:drawing>
          <wp:inline distT="0" distB="0" distL="0" distR="0">
            <wp:extent cx="5408930" cy="2162175"/>
            <wp:effectExtent l="0" t="0" r="127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48C0" w:rsidRDefault="00B348C0" w:rsidP="00C27EC1">
      <w:pPr>
        <w:spacing w:after="0" w:line="240" w:lineRule="auto"/>
        <w:jc w:val="center"/>
        <w:rPr>
          <w:noProof/>
          <w:lang w:eastAsia="en-IN"/>
        </w:rPr>
      </w:pPr>
    </w:p>
    <w:p w:rsidR="009F5421" w:rsidRDefault="00B348C0" w:rsidP="00C27EC1">
      <w:pPr>
        <w:spacing w:after="0" w:line="240" w:lineRule="auto"/>
        <w:jc w:val="center"/>
        <w:rPr>
          <w:rFonts w:ascii="Times New Roman" w:hAnsi="Times New Roman" w:cs="Times New Roman"/>
          <w:b/>
          <w:bCs/>
          <w:sz w:val="28"/>
          <w:szCs w:val="28"/>
        </w:rPr>
      </w:pPr>
      <w:r>
        <w:rPr>
          <w:noProof/>
          <w:lang w:eastAsia="en-IN"/>
        </w:rPr>
        <w:t>-</w:t>
      </w:r>
      <w:r w:rsidR="00C6596E">
        <w:rPr>
          <w:noProof/>
          <w:lang w:eastAsia="en-IN"/>
        </w:rPr>
        <w:br w:type="page"/>
      </w:r>
      <w:r w:rsidR="009F5421" w:rsidRPr="009F5421">
        <w:rPr>
          <w:rFonts w:ascii="Times New Roman" w:hAnsi="Times New Roman" w:cs="Times New Roman"/>
          <w:b/>
          <w:sz w:val="28"/>
          <w:szCs w:val="28"/>
        </w:rPr>
        <w:lastRenderedPageBreak/>
        <w:t>Business Inflation Expectation Survey</w:t>
      </w:r>
      <w:r w:rsidR="009F5421">
        <w:rPr>
          <w:rFonts w:ascii="Times New Roman" w:hAnsi="Times New Roman" w:cs="Times New Roman"/>
          <w:b/>
          <w:sz w:val="28"/>
          <w:szCs w:val="28"/>
        </w:rPr>
        <w:t xml:space="preserve"> (BIES) </w:t>
      </w:r>
      <w:r w:rsidR="00410FBB">
        <w:rPr>
          <w:rFonts w:ascii="Times New Roman" w:hAnsi="Times New Roman" w:cs="Times New Roman"/>
          <w:b/>
          <w:sz w:val="28"/>
          <w:szCs w:val="28"/>
        </w:rPr>
        <w:t>–</w:t>
      </w:r>
      <w:r w:rsidR="009F5421">
        <w:rPr>
          <w:rFonts w:ascii="Times New Roman" w:hAnsi="Times New Roman" w:cs="Times New Roman"/>
          <w:b/>
          <w:sz w:val="28"/>
          <w:szCs w:val="28"/>
        </w:rPr>
        <w:t xml:space="preserve"> </w:t>
      </w:r>
      <w:r w:rsidR="009F5421" w:rsidRPr="009F5421">
        <w:rPr>
          <w:rFonts w:ascii="Times New Roman" w:hAnsi="Times New Roman" w:cs="Times New Roman"/>
          <w:b/>
          <w:bCs/>
          <w:sz w:val="28"/>
          <w:szCs w:val="28"/>
        </w:rPr>
        <w:t>Questionnaire</w:t>
      </w:r>
    </w:p>
    <w:p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tblPr>
      <w:tblGrid>
        <w:gridCol w:w="9810"/>
      </w:tblGrid>
      <w:tr w:rsidR="009F5421" w:rsidRPr="009F5421" w:rsidTr="00E0056C">
        <w:tc>
          <w:tcPr>
            <w:tcW w:w="9810" w:type="dxa"/>
          </w:tcPr>
          <w:p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rsidR="009F5421" w:rsidRPr="009F5421" w:rsidRDefault="009F5421" w:rsidP="00E0056C">
            <w:pPr>
              <w:pStyle w:val="NormalWeb"/>
              <w:spacing w:before="0" w:beforeAutospacing="0" w:after="0" w:afterAutospacing="0"/>
              <w:jc w:val="both"/>
              <w:rPr>
                <w:sz w:val="22"/>
                <w:szCs w:val="22"/>
              </w:rPr>
            </w:pPr>
          </w:p>
          <w:p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rsidR="009F5421" w:rsidRPr="009F5421" w:rsidRDefault="009F5421" w:rsidP="00E0056C">
            <w:pPr>
              <w:pStyle w:val="NormalWeb"/>
              <w:spacing w:before="0" w:beforeAutospacing="0" w:after="0" w:afterAutospacing="0"/>
              <w:jc w:val="both"/>
              <w:rPr>
                <w:sz w:val="22"/>
                <w:szCs w:val="22"/>
              </w:rPr>
            </w:pPr>
          </w:p>
          <w:p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rsidR="002B2E73" w:rsidRPr="009F5421" w:rsidRDefault="002B2E73" w:rsidP="002B2E73">
            <w:pPr>
              <w:pStyle w:val="NormalWeb"/>
              <w:spacing w:before="0" w:beforeAutospacing="0" w:after="0" w:afterAutospacing="0"/>
              <w:ind w:left="1800"/>
              <w:jc w:val="both"/>
              <w:rPr>
                <w:sz w:val="22"/>
                <w:szCs w:val="22"/>
              </w:rPr>
            </w:pPr>
          </w:p>
          <w:p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rsidR="009F5421" w:rsidRPr="009F5421" w:rsidRDefault="009F5421" w:rsidP="00E0056C">
            <w:pPr>
              <w:contextualSpacing/>
              <w:rPr>
                <w:rFonts w:ascii="Times New Roman" w:hAnsi="Times New Roman" w:cs="Times New Roman"/>
                <w:b/>
              </w:rPr>
            </w:pPr>
          </w:p>
        </w:tc>
      </w:tr>
      <w:tr w:rsidR="009F5421" w:rsidRPr="009F5421" w:rsidTr="00E0056C">
        <w:tc>
          <w:tcPr>
            <w:tcW w:w="9810" w:type="dxa"/>
          </w:tcPr>
          <w:p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rsidR="002B2E73" w:rsidRPr="009F5421" w:rsidRDefault="002B2E73" w:rsidP="009F5421">
            <w:pPr>
              <w:pStyle w:val="ListParagraph"/>
              <w:numPr>
                <w:ilvl w:val="0"/>
                <w:numId w:val="5"/>
              </w:numPr>
              <w:spacing w:after="0" w:line="240" w:lineRule="auto"/>
              <w:rPr>
                <w:rFonts w:ascii="Times New Roman" w:hAnsi="Times New Roman" w:cs="Times New Roman"/>
              </w:rPr>
            </w:pPr>
          </w:p>
          <w:p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rsidR="002B2E73" w:rsidRPr="009F5421" w:rsidRDefault="002B2E73" w:rsidP="00E0056C">
            <w:pPr>
              <w:contextualSpacing/>
              <w:rPr>
                <w:rFonts w:ascii="Times New Roman" w:hAnsi="Times New Roman" w:cs="Times New Roman"/>
                <w:b/>
                <w:i/>
              </w:rPr>
            </w:pPr>
          </w:p>
        </w:tc>
      </w:tr>
      <w:tr w:rsidR="009F5421" w:rsidRPr="009F5421" w:rsidTr="00E0056C">
        <w:tc>
          <w:tcPr>
            <w:tcW w:w="9810" w:type="dxa"/>
          </w:tcPr>
          <w:p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tblGrid>
            <w:tr w:rsidR="009F5421" w:rsidRPr="009F5421" w:rsidTr="00E0056C">
              <w:trPr>
                <w:trHeight w:val="348"/>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49"/>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330"/>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357"/>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76"/>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76"/>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rsidR="009F5421" w:rsidRDefault="009F5421" w:rsidP="00E0056C">
            <w:pPr>
              <w:contextualSpacing/>
              <w:rPr>
                <w:rFonts w:ascii="Times New Roman" w:hAnsi="Times New Roman" w:cs="Times New Roman"/>
                <w:i/>
                <w:vertAlign w:val="superscript"/>
              </w:rPr>
            </w:pPr>
          </w:p>
          <w:p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rsidR="009F5421" w:rsidRPr="00925659" w:rsidRDefault="009F5421" w:rsidP="00EC19F6">
      <w:pPr>
        <w:spacing w:after="0" w:line="240" w:lineRule="auto"/>
        <w:jc w:val="center"/>
        <w:rPr>
          <w:b/>
          <w:sz w:val="32"/>
          <w:szCs w:val="32"/>
        </w:rPr>
      </w:pPr>
    </w:p>
    <w:sectPr w:rsidR="009F5421" w:rsidRPr="00925659" w:rsidSect="00DF5E29">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A74" w:rsidRDefault="00063A74" w:rsidP="00B81990">
      <w:pPr>
        <w:spacing w:after="0" w:line="240" w:lineRule="auto"/>
      </w:pPr>
      <w:r>
        <w:separator/>
      </w:r>
    </w:p>
  </w:endnote>
  <w:endnote w:type="continuationSeparator" w:id="0">
    <w:p w:rsidR="00063A74" w:rsidRDefault="00063A74" w:rsidP="00B81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798931"/>
      <w:docPartObj>
        <w:docPartGallery w:val="Page Numbers (Bottom of Page)"/>
        <w:docPartUnique/>
      </w:docPartObj>
    </w:sdtPr>
    <w:sdtEndPr>
      <w:rPr>
        <w:rFonts w:ascii="Times New Roman" w:hAnsi="Times New Roman" w:cs="Times New Roman"/>
        <w:noProof/>
      </w:rPr>
    </w:sdtEndPr>
    <w:sdtContent>
      <w:p w:rsidR="008007DF" w:rsidRPr="003705BC" w:rsidRDefault="008C1F31">
        <w:pPr>
          <w:pStyle w:val="Footer"/>
          <w:jc w:val="center"/>
          <w:rPr>
            <w:rFonts w:ascii="Times New Roman" w:hAnsi="Times New Roman" w:cs="Times New Roman"/>
          </w:rPr>
        </w:pPr>
        <w:r w:rsidRPr="003705BC">
          <w:rPr>
            <w:rFonts w:ascii="Times New Roman" w:hAnsi="Times New Roman" w:cs="Times New Roman"/>
          </w:rPr>
          <w:fldChar w:fldCharType="begin"/>
        </w:r>
        <w:r w:rsidR="008007DF"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B348C0">
          <w:rPr>
            <w:rFonts w:ascii="Times New Roman" w:hAnsi="Times New Roman" w:cs="Times New Roman"/>
            <w:noProof/>
          </w:rPr>
          <w:t>4</w:t>
        </w:r>
        <w:r w:rsidRPr="003705BC">
          <w:rPr>
            <w:rFonts w:ascii="Times New Roman" w:hAnsi="Times New Roman" w:cs="Times New Roman"/>
            <w:noProof/>
          </w:rPr>
          <w:fldChar w:fldCharType="end"/>
        </w:r>
      </w:p>
    </w:sdtContent>
  </w:sdt>
  <w:p w:rsidR="008007DF" w:rsidRDefault="00800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A74" w:rsidRDefault="00063A74" w:rsidP="00B81990">
      <w:pPr>
        <w:spacing w:after="0" w:line="240" w:lineRule="auto"/>
      </w:pPr>
      <w:r>
        <w:separator/>
      </w:r>
    </w:p>
  </w:footnote>
  <w:footnote w:type="continuationSeparator" w:id="0">
    <w:p w:rsidR="00063A74" w:rsidRDefault="00063A74" w:rsidP="00B81990">
      <w:pPr>
        <w:spacing w:after="0" w:line="240" w:lineRule="auto"/>
      </w:pPr>
      <w:r>
        <w:continuationSeparator/>
      </w:r>
    </w:p>
  </w:footnote>
  <w:footnote w:id="1">
    <w:p w:rsidR="00CF0884" w:rsidRPr="00727F1A" w:rsidRDefault="00CF0884" w:rsidP="00CF0884">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rsidR="00CF0884" w:rsidRDefault="00CF0884" w:rsidP="00CF088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7DF" w:rsidRDefault="008007DF" w:rsidP="00584765">
    <w:pPr>
      <w:pStyle w:val="Header"/>
      <w:ind w:left="28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360057"/>
    <w:rsid w:val="00000209"/>
    <w:rsid w:val="00013CAF"/>
    <w:rsid w:val="0001471A"/>
    <w:rsid w:val="00015185"/>
    <w:rsid w:val="00015A8B"/>
    <w:rsid w:val="00021AB1"/>
    <w:rsid w:val="00025620"/>
    <w:rsid w:val="00026033"/>
    <w:rsid w:val="000302BE"/>
    <w:rsid w:val="00031DFE"/>
    <w:rsid w:val="00034A5A"/>
    <w:rsid w:val="00037176"/>
    <w:rsid w:val="0004003F"/>
    <w:rsid w:val="00053843"/>
    <w:rsid w:val="000628D6"/>
    <w:rsid w:val="00063A74"/>
    <w:rsid w:val="00065202"/>
    <w:rsid w:val="00065EDD"/>
    <w:rsid w:val="000679C4"/>
    <w:rsid w:val="000701A1"/>
    <w:rsid w:val="000716F4"/>
    <w:rsid w:val="00084082"/>
    <w:rsid w:val="000872BA"/>
    <w:rsid w:val="00093B14"/>
    <w:rsid w:val="00097167"/>
    <w:rsid w:val="0009761D"/>
    <w:rsid w:val="000A1926"/>
    <w:rsid w:val="000A6FCF"/>
    <w:rsid w:val="000B078A"/>
    <w:rsid w:val="000B340F"/>
    <w:rsid w:val="000B3470"/>
    <w:rsid w:val="000B5383"/>
    <w:rsid w:val="000C390A"/>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7535"/>
    <w:rsid w:val="002B7A19"/>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7C1"/>
    <w:rsid w:val="00332D92"/>
    <w:rsid w:val="003352DA"/>
    <w:rsid w:val="00337620"/>
    <w:rsid w:val="00337BA5"/>
    <w:rsid w:val="00340C14"/>
    <w:rsid w:val="00343E59"/>
    <w:rsid w:val="003510A7"/>
    <w:rsid w:val="00351891"/>
    <w:rsid w:val="0035640B"/>
    <w:rsid w:val="00360057"/>
    <w:rsid w:val="003705BC"/>
    <w:rsid w:val="00370881"/>
    <w:rsid w:val="00371173"/>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6A1"/>
    <w:rsid w:val="00413AF7"/>
    <w:rsid w:val="00417300"/>
    <w:rsid w:val="00417A15"/>
    <w:rsid w:val="004205F5"/>
    <w:rsid w:val="004239D7"/>
    <w:rsid w:val="00423FE2"/>
    <w:rsid w:val="00424D9F"/>
    <w:rsid w:val="0042510F"/>
    <w:rsid w:val="00431952"/>
    <w:rsid w:val="00433F9F"/>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E45A6"/>
    <w:rsid w:val="004F1230"/>
    <w:rsid w:val="004F39F6"/>
    <w:rsid w:val="004F42CF"/>
    <w:rsid w:val="00502A3B"/>
    <w:rsid w:val="005231C1"/>
    <w:rsid w:val="0052567E"/>
    <w:rsid w:val="00526FE8"/>
    <w:rsid w:val="00531C53"/>
    <w:rsid w:val="005358D3"/>
    <w:rsid w:val="00537192"/>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4584"/>
    <w:rsid w:val="005D60C2"/>
    <w:rsid w:val="005E0BFA"/>
    <w:rsid w:val="005E28DD"/>
    <w:rsid w:val="005E2B79"/>
    <w:rsid w:val="005E3E89"/>
    <w:rsid w:val="005E60AE"/>
    <w:rsid w:val="005E6503"/>
    <w:rsid w:val="005E76EC"/>
    <w:rsid w:val="005F12A3"/>
    <w:rsid w:val="005F1E36"/>
    <w:rsid w:val="005F50CA"/>
    <w:rsid w:val="005F5FD8"/>
    <w:rsid w:val="005F641E"/>
    <w:rsid w:val="00607937"/>
    <w:rsid w:val="00611AFF"/>
    <w:rsid w:val="0061399F"/>
    <w:rsid w:val="00615F65"/>
    <w:rsid w:val="00623D39"/>
    <w:rsid w:val="006375AE"/>
    <w:rsid w:val="00637E4F"/>
    <w:rsid w:val="006402AF"/>
    <w:rsid w:val="006420D4"/>
    <w:rsid w:val="0064464F"/>
    <w:rsid w:val="00647B5F"/>
    <w:rsid w:val="00653DAB"/>
    <w:rsid w:val="006543F0"/>
    <w:rsid w:val="00654ABC"/>
    <w:rsid w:val="00655AF8"/>
    <w:rsid w:val="00655B50"/>
    <w:rsid w:val="00677730"/>
    <w:rsid w:val="006819F0"/>
    <w:rsid w:val="00681E4B"/>
    <w:rsid w:val="006830D3"/>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E39"/>
    <w:rsid w:val="00727F1A"/>
    <w:rsid w:val="00733A24"/>
    <w:rsid w:val="00737C5B"/>
    <w:rsid w:val="00741F1A"/>
    <w:rsid w:val="007471A8"/>
    <w:rsid w:val="00751794"/>
    <w:rsid w:val="00755B0C"/>
    <w:rsid w:val="00756E56"/>
    <w:rsid w:val="00760A14"/>
    <w:rsid w:val="00761A31"/>
    <w:rsid w:val="00762EAF"/>
    <w:rsid w:val="00763302"/>
    <w:rsid w:val="00764DD5"/>
    <w:rsid w:val="00764EB1"/>
    <w:rsid w:val="00775DAE"/>
    <w:rsid w:val="00775F7E"/>
    <w:rsid w:val="00777318"/>
    <w:rsid w:val="00777433"/>
    <w:rsid w:val="00780013"/>
    <w:rsid w:val="007822A5"/>
    <w:rsid w:val="00782B0B"/>
    <w:rsid w:val="00791854"/>
    <w:rsid w:val="0079288E"/>
    <w:rsid w:val="00796D1B"/>
    <w:rsid w:val="007A5CD7"/>
    <w:rsid w:val="007A72E2"/>
    <w:rsid w:val="007A7723"/>
    <w:rsid w:val="007B1A23"/>
    <w:rsid w:val="007B1C01"/>
    <w:rsid w:val="007B77E8"/>
    <w:rsid w:val="007C54B8"/>
    <w:rsid w:val="007C62BA"/>
    <w:rsid w:val="007C6EE8"/>
    <w:rsid w:val="007C751C"/>
    <w:rsid w:val="007C7C8C"/>
    <w:rsid w:val="007D147A"/>
    <w:rsid w:val="007D3B9A"/>
    <w:rsid w:val="007D4B5C"/>
    <w:rsid w:val="007E00F8"/>
    <w:rsid w:val="007E34C7"/>
    <w:rsid w:val="007E4CCC"/>
    <w:rsid w:val="007E56D7"/>
    <w:rsid w:val="007E6DB3"/>
    <w:rsid w:val="007F043E"/>
    <w:rsid w:val="007F3947"/>
    <w:rsid w:val="007F71B0"/>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584D"/>
    <w:rsid w:val="00860E1B"/>
    <w:rsid w:val="00866C92"/>
    <w:rsid w:val="008676A2"/>
    <w:rsid w:val="0086778C"/>
    <w:rsid w:val="00873384"/>
    <w:rsid w:val="00881AF0"/>
    <w:rsid w:val="00882A52"/>
    <w:rsid w:val="008859D8"/>
    <w:rsid w:val="00885DC8"/>
    <w:rsid w:val="00892431"/>
    <w:rsid w:val="008924DF"/>
    <w:rsid w:val="008975DD"/>
    <w:rsid w:val="008A019B"/>
    <w:rsid w:val="008A3A87"/>
    <w:rsid w:val="008B606E"/>
    <w:rsid w:val="008B6EB4"/>
    <w:rsid w:val="008B7D3F"/>
    <w:rsid w:val="008C1F31"/>
    <w:rsid w:val="008D4140"/>
    <w:rsid w:val="008D53AF"/>
    <w:rsid w:val="008D63AC"/>
    <w:rsid w:val="008D6D83"/>
    <w:rsid w:val="008E3537"/>
    <w:rsid w:val="008E3EB5"/>
    <w:rsid w:val="008F0ABC"/>
    <w:rsid w:val="008F1F2D"/>
    <w:rsid w:val="008F2A57"/>
    <w:rsid w:val="008F583E"/>
    <w:rsid w:val="009002A7"/>
    <w:rsid w:val="00901FA2"/>
    <w:rsid w:val="0090345B"/>
    <w:rsid w:val="009115E9"/>
    <w:rsid w:val="00911FB2"/>
    <w:rsid w:val="009133FE"/>
    <w:rsid w:val="0091559F"/>
    <w:rsid w:val="009174E4"/>
    <w:rsid w:val="00925659"/>
    <w:rsid w:val="00927A52"/>
    <w:rsid w:val="00930466"/>
    <w:rsid w:val="0093664C"/>
    <w:rsid w:val="00943D62"/>
    <w:rsid w:val="00946987"/>
    <w:rsid w:val="00951AF6"/>
    <w:rsid w:val="00954274"/>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23CB7"/>
    <w:rsid w:val="00A2474D"/>
    <w:rsid w:val="00A24BBB"/>
    <w:rsid w:val="00A3041F"/>
    <w:rsid w:val="00A3270F"/>
    <w:rsid w:val="00A35195"/>
    <w:rsid w:val="00A367C0"/>
    <w:rsid w:val="00A37728"/>
    <w:rsid w:val="00A409BA"/>
    <w:rsid w:val="00A42432"/>
    <w:rsid w:val="00A44EBC"/>
    <w:rsid w:val="00A45FCF"/>
    <w:rsid w:val="00A47F48"/>
    <w:rsid w:val="00A60774"/>
    <w:rsid w:val="00A625F5"/>
    <w:rsid w:val="00A706CF"/>
    <w:rsid w:val="00A72F20"/>
    <w:rsid w:val="00A80993"/>
    <w:rsid w:val="00A93D2E"/>
    <w:rsid w:val="00A963FC"/>
    <w:rsid w:val="00AA427B"/>
    <w:rsid w:val="00AA4EBB"/>
    <w:rsid w:val="00AA63A1"/>
    <w:rsid w:val="00AB07F1"/>
    <w:rsid w:val="00AB1899"/>
    <w:rsid w:val="00AB496C"/>
    <w:rsid w:val="00AB7A45"/>
    <w:rsid w:val="00AC6C7C"/>
    <w:rsid w:val="00AD0751"/>
    <w:rsid w:val="00AD6B64"/>
    <w:rsid w:val="00AE7F0F"/>
    <w:rsid w:val="00B00CB3"/>
    <w:rsid w:val="00B06244"/>
    <w:rsid w:val="00B063D4"/>
    <w:rsid w:val="00B103AE"/>
    <w:rsid w:val="00B129FC"/>
    <w:rsid w:val="00B12CC7"/>
    <w:rsid w:val="00B200A7"/>
    <w:rsid w:val="00B215BA"/>
    <w:rsid w:val="00B348C0"/>
    <w:rsid w:val="00B40A55"/>
    <w:rsid w:val="00B41EF3"/>
    <w:rsid w:val="00B41FD1"/>
    <w:rsid w:val="00B4405A"/>
    <w:rsid w:val="00B468BD"/>
    <w:rsid w:val="00B51229"/>
    <w:rsid w:val="00B5663F"/>
    <w:rsid w:val="00B6059C"/>
    <w:rsid w:val="00B60CD1"/>
    <w:rsid w:val="00B61481"/>
    <w:rsid w:val="00B6165E"/>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E11"/>
    <w:rsid w:val="00BA3708"/>
    <w:rsid w:val="00BA708D"/>
    <w:rsid w:val="00BB2EDA"/>
    <w:rsid w:val="00BC20B5"/>
    <w:rsid w:val="00BC31B3"/>
    <w:rsid w:val="00BD4062"/>
    <w:rsid w:val="00BE1008"/>
    <w:rsid w:val="00BE33D4"/>
    <w:rsid w:val="00BF4906"/>
    <w:rsid w:val="00BF61A4"/>
    <w:rsid w:val="00BF74CB"/>
    <w:rsid w:val="00C04AE6"/>
    <w:rsid w:val="00C14124"/>
    <w:rsid w:val="00C1670B"/>
    <w:rsid w:val="00C25290"/>
    <w:rsid w:val="00C2619B"/>
    <w:rsid w:val="00C27EC1"/>
    <w:rsid w:val="00C31736"/>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6087"/>
    <w:rsid w:val="00C96B58"/>
    <w:rsid w:val="00C96C66"/>
    <w:rsid w:val="00CA0366"/>
    <w:rsid w:val="00CA0452"/>
    <w:rsid w:val="00CA2329"/>
    <w:rsid w:val="00CA603B"/>
    <w:rsid w:val="00CB3CF1"/>
    <w:rsid w:val="00CB54EB"/>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5C5"/>
    <w:rsid w:val="00D010FE"/>
    <w:rsid w:val="00D02C8B"/>
    <w:rsid w:val="00D10FE5"/>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4D83"/>
    <w:rsid w:val="00D86FBB"/>
    <w:rsid w:val="00D925B4"/>
    <w:rsid w:val="00D94524"/>
    <w:rsid w:val="00D969A2"/>
    <w:rsid w:val="00DA5475"/>
    <w:rsid w:val="00DA5CEE"/>
    <w:rsid w:val="00DA7B90"/>
    <w:rsid w:val="00DB00CF"/>
    <w:rsid w:val="00DB27C4"/>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F1CBE"/>
    <w:rsid w:val="00DF5E29"/>
    <w:rsid w:val="00E0056C"/>
    <w:rsid w:val="00E05849"/>
    <w:rsid w:val="00E05EDE"/>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53AF"/>
    <w:rsid w:val="00E66762"/>
    <w:rsid w:val="00E73806"/>
    <w:rsid w:val="00E757F1"/>
    <w:rsid w:val="00E80133"/>
    <w:rsid w:val="00E8126B"/>
    <w:rsid w:val="00E834E5"/>
    <w:rsid w:val="00E9356D"/>
    <w:rsid w:val="00E953FD"/>
    <w:rsid w:val="00EA1765"/>
    <w:rsid w:val="00EA264B"/>
    <w:rsid w:val="00EA5602"/>
    <w:rsid w:val="00EA79D4"/>
    <w:rsid w:val="00EB118F"/>
    <w:rsid w:val="00EB7978"/>
    <w:rsid w:val="00EC19F6"/>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7555"/>
    <w:rsid w:val="00F36E01"/>
    <w:rsid w:val="00F37B99"/>
    <w:rsid w:val="00F412C2"/>
    <w:rsid w:val="00F46A98"/>
    <w:rsid w:val="00F503C6"/>
    <w:rsid w:val="00F51B2F"/>
    <w:rsid w:val="00F54740"/>
    <w:rsid w:val="00F55006"/>
    <w:rsid w:val="00F62E1D"/>
    <w:rsid w:val="00F64ED0"/>
    <w:rsid w:val="00F66519"/>
    <w:rsid w:val="00F7154C"/>
    <w:rsid w:val="00F728A6"/>
    <w:rsid w:val="00F765CE"/>
    <w:rsid w:val="00F87A41"/>
    <w:rsid w:val="00F925D1"/>
    <w:rsid w:val="00FA0360"/>
    <w:rsid w:val="00FA155C"/>
    <w:rsid w:val="00FA1F47"/>
    <w:rsid w:val="00FA2612"/>
    <w:rsid w:val="00FA779C"/>
    <w:rsid w:val="00FB0E04"/>
    <w:rsid w:val="00FB325F"/>
    <w:rsid w:val="00FB3733"/>
    <w:rsid w:val="00FB7769"/>
    <w:rsid w:val="00FC0DDB"/>
    <w:rsid w:val="00FC49EB"/>
    <w:rsid w:val="00FC5739"/>
    <w:rsid w:val="00FD534D"/>
    <w:rsid w:val="00FD6696"/>
    <w:rsid w:val="00FE215D"/>
    <w:rsid w:val="00FE5647"/>
    <w:rsid w:val="00FF3065"/>
    <w:rsid w:val="00FF53C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r="http://schemas.openxmlformats.org/officeDocument/2006/relationships" xmlns:w="http://schemas.openxmlformats.org/wordprocessingml/2006/main">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Februar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Estimation%20February%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February%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February%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Februar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lineChart>
        <c:grouping val="standard"/>
        <c:ser>
          <c:idx val="0"/>
          <c:order val="0"/>
          <c:spPr>
            <a:ln>
              <a:solidFill>
                <a:srgbClr val="C00000"/>
              </a:solidFill>
            </a:ln>
          </c:spPr>
          <c:marker>
            <c:symbol val="none"/>
          </c:marker>
          <c:trendline>
            <c:spPr>
              <a:ln w="15875">
                <a:solidFill>
                  <a:srgbClr val="002060"/>
                </a:solidFill>
              </a:ln>
            </c:spPr>
            <c:trendlineType val="linear"/>
          </c:trendline>
          <c:cat>
            <c:numRef>
              <c:f>Sheet1!$D$26:$D$59</c:f>
              <c:numCache>
                <c:formatCode>mmm\-yy</c:formatCode>
                <c:ptCount val="3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numCache>
            </c:numRef>
          </c:cat>
          <c:val>
            <c:numRef>
              <c:f>Sheet1!$E$26:$E$59</c:f>
              <c:numCache>
                <c:formatCode>0.00</c:formatCode>
                <c:ptCount val="34"/>
                <c:pt idx="0">
                  <c:v>3.03</c:v>
                </c:pt>
                <c:pt idx="1">
                  <c:v>3.04</c:v>
                </c:pt>
                <c:pt idx="2">
                  <c:v>2.86</c:v>
                </c:pt>
                <c:pt idx="3">
                  <c:v>3.5</c:v>
                </c:pt>
                <c:pt idx="4">
                  <c:v>3.3699999999999997</c:v>
                </c:pt>
                <c:pt idx="5">
                  <c:v>3.08</c:v>
                </c:pt>
                <c:pt idx="6">
                  <c:v>3.12</c:v>
                </c:pt>
                <c:pt idx="7">
                  <c:v>3.52</c:v>
                </c:pt>
                <c:pt idx="8">
                  <c:v>3.79</c:v>
                </c:pt>
                <c:pt idx="9">
                  <c:v>3.8499999999999988</c:v>
                </c:pt>
                <c:pt idx="10">
                  <c:v>3.73</c:v>
                </c:pt>
                <c:pt idx="11">
                  <c:v>4.2062500000000034</c:v>
                </c:pt>
                <c:pt idx="12">
                  <c:v>4.0742499999999993</c:v>
                </c:pt>
                <c:pt idx="13">
                  <c:v>3.1265000000000001</c:v>
                </c:pt>
                <c:pt idx="14">
                  <c:v>3.8193999999999986</c:v>
                </c:pt>
                <c:pt idx="15">
                  <c:v>4.5054499999999997</c:v>
                </c:pt>
                <c:pt idx="16">
                  <c:v>4.4987205882352903</c:v>
                </c:pt>
                <c:pt idx="17">
                  <c:v>3.6622499999999985</c:v>
                </c:pt>
                <c:pt idx="18">
                  <c:v>3.8595499999999983</c:v>
                </c:pt>
                <c:pt idx="19">
                  <c:v>3.2946500000000007</c:v>
                </c:pt>
                <c:pt idx="20">
                  <c:v>3.0993499999999981</c:v>
                </c:pt>
                <c:pt idx="21">
                  <c:v>3.5462499999999979</c:v>
                </c:pt>
                <c:pt idx="22">
                  <c:v>3.6808499999999977</c:v>
                </c:pt>
                <c:pt idx="23">
                  <c:v>3.4775499999999977</c:v>
                </c:pt>
                <c:pt idx="24">
                  <c:v>3.6692999999999998</c:v>
                </c:pt>
                <c:pt idx="25">
                  <c:v>3.4401000000000002</c:v>
                </c:pt>
                <c:pt idx="26">
                  <c:v>3.6986000000000003</c:v>
                </c:pt>
                <c:pt idx="27">
                  <c:v>3.1429499999999981</c:v>
                </c:pt>
                <c:pt idx="28">
                  <c:v>3.1379999999999999</c:v>
                </c:pt>
                <c:pt idx="29">
                  <c:v>3.2011500000000002</c:v>
                </c:pt>
                <c:pt idx="30">
                  <c:v>3.5265999999999997</c:v>
                </c:pt>
                <c:pt idx="31">
                  <c:v>3.4735499999999981</c:v>
                </c:pt>
                <c:pt idx="32">
                  <c:v>3.6183000000000005</c:v>
                </c:pt>
                <c:pt idx="33">
                  <c:v>3.8548499999999963</c:v>
                </c:pt>
              </c:numCache>
            </c:numRef>
          </c:val>
          <c:extLst xmlns:c16r2="http://schemas.microsoft.com/office/drawing/2015/06/chart">
            <c:ext xmlns:c16="http://schemas.microsoft.com/office/drawing/2014/chart" uri="{C3380CC4-5D6E-409C-BE32-E72D297353CC}">
              <c16:uniqueId val="{00000000-DBC1-41DB-9FD9-22D1E180D62A}"/>
            </c:ext>
          </c:extLst>
        </c:ser>
        <c:ser>
          <c:idx val="2"/>
          <c:order val="1"/>
          <c:spPr>
            <a:ln w="31750">
              <a:solidFill>
                <a:srgbClr val="00B050"/>
              </a:solidFill>
              <a:prstDash val="sysDash"/>
            </a:ln>
          </c:spPr>
          <c:marker>
            <c:symbol val="none"/>
          </c:marker>
          <c:cat>
            <c:numRef>
              <c:f>Sheet1!$D$26:$D$59</c:f>
              <c:numCache>
                <c:formatCode>mmm\-yy</c:formatCode>
                <c:ptCount val="3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numCache>
            </c:numRef>
          </c:cat>
          <c:val>
            <c:numRef>
              <c:f>Sheet1!$G$26:$G$59</c:f>
              <c:numCache>
                <c:formatCode>General</c:formatCode>
                <c:ptCount val="34"/>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numCache>
            </c:numRef>
          </c:val>
          <c:extLst xmlns:c16r2="http://schemas.microsoft.com/office/drawing/2015/06/chart">
            <c:ext xmlns:c16="http://schemas.microsoft.com/office/drawing/2014/chart" uri="{C3380CC4-5D6E-409C-BE32-E72D297353CC}">
              <c16:uniqueId val="{00000001-DBC1-41DB-9FD9-22D1E180D62A}"/>
            </c:ext>
          </c:extLst>
        </c:ser>
        <c:marker val="1"/>
        <c:axId val="92164864"/>
        <c:axId val="92166784"/>
      </c:lineChart>
      <c:dateAx>
        <c:axId val="92164864"/>
        <c:scaling>
          <c:orientation val="minMax"/>
        </c:scaling>
        <c:axPos val="b"/>
        <c:numFmt formatCode="mmm\-yy" sourceLinked="1"/>
        <c:tickLblPos val="nextTo"/>
        <c:txPr>
          <a:bodyPr rot="-5400000" vert="horz"/>
          <a:lstStyle/>
          <a:p>
            <a:pPr>
              <a:defRPr>
                <a:solidFill>
                  <a:sysClr val="windowText" lastClr="000000"/>
                </a:solidFill>
              </a:defRPr>
            </a:pPr>
            <a:endParaRPr lang="en-US"/>
          </a:p>
        </c:txPr>
        <c:crossAx val="92166784"/>
        <c:crosses val="autoZero"/>
        <c:auto val="1"/>
        <c:lblOffset val="100"/>
        <c:baseTimeUnit val="months"/>
        <c:majorUnit val="1"/>
        <c:majorTimeUnit val="months"/>
      </c:dateAx>
      <c:valAx>
        <c:axId val="92166784"/>
        <c:scaling>
          <c:orientation val="minMax"/>
          <c:max val="6"/>
          <c:min val="2"/>
        </c:scaling>
        <c:axPos val="l"/>
        <c:majorGridlines>
          <c:spPr>
            <a:ln>
              <a:solidFill>
                <a:srgbClr val="FF0000"/>
              </a:solidFill>
            </a:ln>
          </c:spPr>
        </c:majorGridlines>
        <c:numFmt formatCode="#,##0" sourceLinked="0"/>
        <c:tickLblPos val="nextTo"/>
        <c:crossAx val="92164864"/>
        <c:crosses val="autoZero"/>
        <c:crossBetween val="between"/>
        <c:majorUnit val="1"/>
        <c:minorUnit val="0.5"/>
      </c:valAx>
    </c:plotArea>
    <c:plotVisOnly val="1"/>
    <c:dispBlanksAs val="gap"/>
  </c:chart>
  <c:spPr>
    <a:ln w="15875">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lineChart>
        <c:grouping val="standard"/>
        <c:ser>
          <c:idx val="0"/>
          <c:order val="0"/>
          <c:spPr>
            <a:ln w="28575" cap="rnd">
              <a:solidFill>
                <a:srgbClr val="002060"/>
              </a:solidFill>
              <a:round/>
            </a:ln>
            <a:effectLst/>
          </c:spPr>
          <c:marker>
            <c:symbol val="none"/>
          </c:marker>
          <c:cat>
            <c:numRef>
              <c:f>Sheet1!$S$27:$S$39</c:f>
              <c:numCache>
                <c:formatCode>mmm\-yy</c:formatCode>
                <c:ptCount val="13"/>
                <c:pt idx="0">
                  <c:v>43132</c:v>
                </c:pt>
                <c:pt idx="1">
                  <c:v>43191</c:v>
                </c:pt>
                <c:pt idx="2">
                  <c:v>43252</c:v>
                </c:pt>
                <c:pt idx="3">
                  <c:v>43313</c:v>
                </c:pt>
                <c:pt idx="4">
                  <c:v>43374</c:v>
                </c:pt>
                <c:pt idx="5">
                  <c:v>43435</c:v>
                </c:pt>
                <c:pt idx="6">
                  <c:v>43497</c:v>
                </c:pt>
                <c:pt idx="7">
                  <c:v>43556</c:v>
                </c:pt>
                <c:pt idx="8">
                  <c:v>43617</c:v>
                </c:pt>
                <c:pt idx="9">
                  <c:v>43678</c:v>
                </c:pt>
                <c:pt idx="10">
                  <c:v>43739</c:v>
                </c:pt>
                <c:pt idx="11">
                  <c:v>43800</c:v>
                </c:pt>
                <c:pt idx="12">
                  <c:v>43862</c:v>
                </c:pt>
              </c:numCache>
            </c:numRef>
          </c:cat>
          <c:val>
            <c:numRef>
              <c:f>Sheet1!$T$27:$T$39</c:f>
              <c:numCache>
                <c:formatCode>0.00</c:formatCode>
                <c:ptCount val="13"/>
                <c:pt idx="0">
                  <c:v>4.0999999999999996</c:v>
                </c:pt>
                <c:pt idx="1">
                  <c:v>4.67</c:v>
                </c:pt>
                <c:pt idx="2">
                  <c:v>4.1599999999999975</c:v>
                </c:pt>
                <c:pt idx="3">
                  <c:v>4.3599999999999985</c:v>
                </c:pt>
                <c:pt idx="4">
                  <c:v>4.07</c:v>
                </c:pt>
                <c:pt idx="5">
                  <c:v>3.8299999999999987</c:v>
                </c:pt>
                <c:pt idx="6">
                  <c:v>3.3</c:v>
                </c:pt>
                <c:pt idx="7">
                  <c:v>3.8499999999999988</c:v>
                </c:pt>
                <c:pt idx="8">
                  <c:v>3.73</c:v>
                </c:pt>
                <c:pt idx="9">
                  <c:v>3.7</c:v>
                </c:pt>
                <c:pt idx="10">
                  <c:v>3.8</c:v>
                </c:pt>
                <c:pt idx="11">
                  <c:v>4.22</c:v>
                </c:pt>
                <c:pt idx="12">
                  <c:v>4.0344499999999996</c:v>
                </c:pt>
              </c:numCache>
            </c:numRef>
          </c:val>
          <c:extLst xmlns:c16r2="http://schemas.microsoft.com/office/drawing/2015/06/chart">
            <c:ext xmlns:c16="http://schemas.microsoft.com/office/drawing/2014/chart" uri="{C3380CC4-5D6E-409C-BE32-E72D297353CC}">
              <c16:uniqueId val="{00000000-7DE2-415D-B415-DCE525A48A63}"/>
            </c:ext>
          </c:extLst>
        </c:ser>
        <c:ser>
          <c:idx val="2"/>
          <c:order val="1"/>
          <c:spPr>
            <a:ln w="28575" cap="rnd">
              <a:solidFill>
                <a:srgbClr val="FF0000"/>
              </a:solidFill>
              <a:prstDash val="dash"/>
              <a:round/>
            </a:ln>
            <a:effectLst/>
          </c:spPr>
          <c:marker>
            <c:symbol val="none"/>
          </c:marker>
          <c:cat>
            <c:numRef>
              <c:f>Sheet1!$S$27:$S$39</c:f>
              <c:numCache>
                <c:formatCode>mmm\-yy</c:formatCode>
                <c:ptCount val="13"/>
                <c:pt idx="0">
                  <c:v>43132</c:v>
                </c:pt>
                <c:pt idx="1">
                  <c:v>43191</c:v>
                </c:pt>
                <c:pt idx="2">
                  <c:v>43252</c:v>
                </c:pt>
                <c:pt idx="3">
                  <c:v>43313</c:v>
                </c:pt>
                <c:pt idx="4">
                  <c:v>43374</c:v>
                </c:pt>
                <c:pt idx="5">
                  <c:v>43435</c:v>
                </c:pt>
                <c:pt idx="6">
                  <c:v>43497</c:v>
                </c:pt>
                <c:pt idx="7">
                  <c:v>43556</c:v>
                </c:pt>
                <c:pt idx="8">
                  <c:v>43617</c:v>
                </c:pt>
                <c:pt idx="9">
                  <c:v>43678</c:v>
                </c:pt>
                <c:pt idx="10">
                  <c:v>43739</c:v>
                </c:pt>
                <c:pt idx="11">
                  <c:v>43800</c:v>
                </c:pt>
                <c:pt idx="12">
                  <c:v>43862</c:v>
                </c:pt>
              </c:numCache>
            </c:numRef>
          </c:cat>
          <c:val>
            <c:numRef>
              <c:f>Sheet1!$V$27:$V$39</c:f>
              <c:numCache>
                <c:formatCode>General</c:formatCode>
                <c:ptCount val="13"/>
                <c:pt idx="0">
                  <c:v>4</c:v>
                </c:pt>
                <c:pt idx="1">
                  <c:v>4</c:v>
                </c:pt>
                <c:pt idx="2">
                  <c:v>4</c:v>
                </c:pt>
                <c:pt idx="3">
                  <c:v>4</c:v>
                </c:pt>
                <c:pt idx="4">
                  <c:v>4</c:v>
                </c:pt>
                <c:pt idx="5">
                  <c:v>4</c:v>
                </c:pt>
                <c:pt idx="6">
                  <c:v>4</c:v>
                </c:pt>
                <c:pt idx="7">
                  <c:v>4</c:v>
                </c:pt>
                <c:pt idx="8">
                  <c:v>4</c:v>
                </c:pt>
                <c:pt idx="9">
                  <c:v>4</c:v>
                </c:pt>
                <c:pt idx="10">
                  <c:v>4</c:v>
                </c:pt>
                <c:pt idx="11">
                  <c:v>4</c:v>
                </c:pt>
                <c:pt idx="12">
                  <c:v>4</c:v>
                </c:pt>
              </c:numCache>
            </c:numRef>
          </c:val>
          <c:extLst xmlns:c16r2="http://schemas.microsoft.com/office/drawing/2015/06/chart">
            <c:ext xmlns:c16="http://schemas.microsoft.com/office/drawing/2014/chart" uri="{C3380CC4-5D6E-409C-BE32-E72D297353CC}">
              <c16:uniqueId val="{00000001-7DE2-415D-B415-DCE525A48A63}"/>
            </c:ext>
          </c:extLst>
        </c:ser>
        <c:marker val="1"/>
        <c:axId val="88438272"/>
        <c:axId val="88439808"/>
      </c:lineChart>
      <c:dateAx>
        <c:axId val="88438272"/>
        <c:scaling>
          <c:orientation val="minMax"/>
        </c:scaling>
        <c:axPos val="b"/>
        <c:numFmt formatCode="mmm\-yy" sourceLinked="1"/>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439808"/>
        <c:crosses val="autoZero"/>
        <c:auto val="1"/>
        <c:lblOffset val="100"/>
        <c:baseTimeUnit val="months"/>
        <c:majorUnit val="2"/>
        <c:majorTimeUnit val="months"/>
      </c:dateAx>
      <c:valAx>
        <c:axId val="88439808"/>
        <c:scaling>
          <c:orientation val="minMax"/>
          <c:min val="2.5"/>
        </c:scaling>
        <c:axPos val="l"/>
        <c:majorGridlines>
          <c:spPr>
            <a:ln w="9525" cap="flat" cmpd="sng" algn="ctr">
              <a:solidFill>
                <a:schemeClr val="tx1">
                  <a:lumMod val="15000"/>
                  <a:lumOff val="85000"/>
                </a:schemeClr>
              </a:solidFill>
              <a:round/>
            </a:ln>
            <a:effectLst/>
          </c:spPr>
        </c:majorGridlines>
        <c:numFmt formatCode="0.0" sourceLinked="0"/>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8438272"/>
        <c:crosses val="autoZero"/>
        <c:crossBetween val="between"/>
      </c:valAx>
      <c:spPr>
        <a:noFill/>
        <a:ln>
          <a:solidFill>
            <a:srgbClr val="0070C0"/>
          </a:solidFill>
        </a:ln>
        <a:effectLst/>
      </c:spPr>
    </c:plotArea>
    <c:plotVisOnly val="1"/>
    <c:dispBlanksAs val="gap"/>
  </c:chart>
  <c:spPr>
    <a:solidFill>
      <a:schemeClr val="bg1"/>
    </a:solidFill>
    <a:ln w="15875" cap="flat" cmpd="sng" algn="ctr">
      <a:solidFill>
        <a:srgbClr val="0070C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chart>
    <c:plotArea>
      <c:layout>
        <c:manualLayout>
          <c:layoutTarget val="inner"/>
          <c:xMode val="edge"/>
          <c:yMode val="edge"/>
          <c:x val="9.2604111986001755E-2"/>
          <c:y val="5.0925925925925923E-2"/>
          <c:w val="0.85972287839020178"/>
          <c:h val="0.78696704578594256"/>
        </c:manualLayout>
      </c:layout>
      <c:barChart>
        <c:barDir val="col"/>
        <c:grouping val="clustered"/>
        <c:ser>
          <c:idx val="0"/>
          <c:order val="0"/>
          <c:tx>
            <c:strRef>
              <c:f>Question3!$AF$3</c:f>
              <c:strCache>
                <c:ptCount val="1"/>
                <c:pt idx="0">
                  <c:v>Nov-19</c:v>
                </c:pt>
              </c:strCache>
            </c:strRef>
          </c:tx>
          <c:dLbls>
            <c:dLbl>
              <c:idx val="0"/>
              <c:layout>
                <c:manualLayout>
                  <c:x val="-1.6977928692699505E-2"/>
                  <c:y val="1.56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8F-44D8-B68E-5F31D81A5FDE}"/>
                </c:ext>
              </c:extLst>
            </c:dLbl>
            <c:dLbl>
              <c:idx val="1"/>
              <c:layout>
                <c:manualLayout>
                  <c:x val="-2.4254183846714001E-3"/>
                  <c:y val="3.124999999999996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D8F-44D8-B68E-5F31D81A5FDE}"/>
                </c:ext>
              </c:extLst>
            </c:dLbl>
            <c:dLbl>
              <c:idx val="3"/>
              <c:layout>
                <c:manualLayout>
                  <c:x val="-8.8930980099679262E-17"/>
                  <c:y val="2.08333333333333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D8F-44D8-B68E-5F31D81A5FDE}"/>
                </c:ext>
              </c:extLst>
            </c:dLbl>
            <c:dLbl>
              <c:idx val="5"/>
              <c:layout>
                <c:manualLayout>
                  <c:x val="-1.2127091923356778E-2"/>
                  <c:y val="1.04166666666666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D8F-44D8-B68E-5F31D81A5FDE}"/>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Question3!$AF$4:$AF$9</c:f>
              <c:numCache>
                <c:formatCode>0.0%</c:formatCode>
                <c:ptCount val="6"/>
                <c:pt idx="0">
                  <c:v>0.11520000000000002</c:v>
                </c:pt>
                <c:pt idx="1">
                  <c:v>0.15440000000000012</c:v>
                </c:pt>
                <c:pt idx="2">
                  <c:v>0.2356</c:v>
                </c:pt>
                <c:pt idx="3">
                  <c:v>0.2225</c:v>
                </c:pt>
                <c:pt idx="4">
                  <c:v>0.18850000000000011</c:v>
                </c:pt>
                <c:pt idx="5">
                  <c:v>8.3800000000000111E-2</c:v>
                </c:pt>
              </c:numCache>
            </c:numRef>
          </c:val>
          <c:extLst xmlns:c16r2="http://schemas.microsoft.com/office/drawing/2015/06/chart">
            <c:ext xmlns:c16="http://schemas.microsoft.com/office/drawing/2014/chart" uri="{C3380CC4-5D6E-409C-BE32-E72D297353CC}">
              <c16:uniqueId val="{00000000-BD8F-44D8-B68E-5F31D81A5FDE}"/>
            </c:ext>
          </c:extLst>
        </c:ser>
        <c:ser>
          <c:idx val="1"/>
          <c:order val="1"/>
          <c:tx>
            <c:strRef>
              <c:f>Question3!$AG$3</c:f>
              <c:strCache>
                <c:ptCount val="1"/>
                <c:pt idx="0">
                  <c:v>Dec-19</c:v>
                </c:pt>
              </c:strCache>
            </c:strRef>
          </c:tx>
          <c:spPr>
            <a:solidFill>
              <a:schemeClr val="accent4"/>
            </a:solidFill>
          </c:spPr>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Question3!$AG$4:$AG$9</c:f>
              <c:numCache>
                <c:formatCode>0.00%</c:formatCode>
                <c:ptCount val="6"/>
                <c:pt idx="0">
                  <c:v>0.1138</c:v>
                </c:pt>
                <c:pt idx="1">
                  <c:v>0.15440000000000012</c:v>
                </c:pt>
                <c:pt idx="2">
                  <c:v>0.26006000000000001</c:v>
                </c:pt>
                <c:pt idx="3">
                  <c:v>0.23830000000000001</c:v>
                </c:pt>
                <c:pt idx="4">
                  <c:v>0.14240000000000011</c:v>
                </c:pt>
                <c:pt idx="5">
                  <c:v>9.2800000000000021E-2</c:v>
                </c:pt>
              </c:numCache>
            </c:numRef>
          </c:val>
          <c:extLst xmlns:c16r2="http://schemas.microsoft.com/office/drawing/2015/06/chart">
            <c:ext xmlns:c16="http://schemas.microsoft.com/office/drawing/2014/chart" uri="{C3380CC4-5D6E-409C-BE32-E72D297353CC}">
              <c16:uniqueId val="{00000001-BD8F-44D8-B68E-5F31D81A5FDE}"/>
            </c:ext>
          </c:extLst>
        </c:ser>
        <c:ser>
          <c:idx val="2"/>
          <c:order val="2"/>
          <c:tx>
            <c:strRef>
              <c:f>Question3!$AH$3</c:f>
              <c:strCache>
                <c:ptCount val="1"/>
                <c:pt idx="0">
                  <c:v>Jan-20</c:v>
                </c:pt>
              </c:strCache>
            </c:strRef>
          </c:tx>
          <c:spPr>
            <a:solidFill>
              <a:srgbClr val="C00000"/>
            </a:solidFill>
          </c:spPr>
          <c:dLbls>
            <c:dLbl>
              <c:idx val="1"/>
              <c:layout>
                <c:manualLayout>
                  <c:x val="4.8508367693426684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D8F-44D8-B68E-5F31D81A5FDE}"/>
                </c:ext>
              </c:extLst>
            </c:dLbl>
            <c:dLbl>
              <c:idx val="5"/>
              <c:layout>
                <c:manualLayout>
                  <c:x val="1.6977928692699491E-2"/>
                  <c:y val="1.56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D8F-44D8-B68E-5F31D81A5FDE}"/>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Question3!$AH$4:$AH$9</c:f>
              <c:numCache>
                <c:formatCode>0.0%</c:formatCode>
                <c:ptCount val="6"/>
                <c:pt idx="0">
                  <c:v>0.14530000000000001</c:v>
                </c:pt>
                <c:pt idx="1">
                  <c:v>0.16500000000000001</c:v>
                </c:pt>
                <c:pt idx="2">
                  <c:v>0.22170000000000001</c:v>
                </c:pt>
                <c:pt idx="3">
                  <c:v>0.20200000000000001</c:v>
                </c:pt>
                <c:pt idx="4">
                  <c:v>0.17</c:v>
                </c:pt>
                <c:pt idx="5">
                  <c:v>9.6100000000000005E-2</c:v>
                </c:pt>
              </c:numCache>
            </c:numRef>
          </c:val>
          <c:extLst xmlns:c16r2="http://schemas.microsoft.com/office/drawing/2015/06/chart">
            <c:ext xmlns:c16="http://schemas.microsoft.com/office/drawing/2014/chart" uri="{C3380CC4-5D6E-409C-BE32-E72D297353CC}">
              <c16:uniqueId val="{00000002-BD8F-44D8-B68E-5F31D81A5FDE}"/>
            </c:ext>
          </c:extLst>
        </c:ser>
        <c:ser>
          <c:idx val="3"/>
          <c:order val="3"/>
          <c:tx>
            <c:strRef>
              <c:f>Question3!$AI$3</c:f>
              <c:strCache>
                <c:ptCount val="1"/>
                <c:pt idx="0">
                  <c:v>Feb-20</c:v>
                </c:pt>
              </c:strCache>
            </c:strRef>
          </c:tx>
          <c:spPr>
            <a:solidFill>
              <a:srgbClr val="00B050"/>
            </a:solidFill>
          </c:spPr>
          <c:dLbls>
            <c:dLbl>
              <c:idx val="0"/>
              <c:layout>
                <c:manualLayout>
                  <c:x val="1.4552510308028141E-2"/>
                  <c:y val="2.08333333333333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D8F-44D8-B68E-5F31D81A5FDE}"/>
                </c:ext>
              </c:extLst>
            </c:dLbl>
            <c:dLbl>
              <c:idx val="1"/>
              <c:layout>
                <c:manualLayout>
                  <c:x val="1.4552510308028099E-2"/>
                  <c:y val="-4.7742504030075166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D8F-44D8-B68E-5F31D81A5FDE}"/>
                </c:ext>
              </c:extLst>
            </c:dLbl>
            <c:dLbl>
              <c:idx val="2"/>
              <c:layout>
                <c:manualLayout>
                  <c:x val="1.9403347077370847E-2"/>
                  <c:y val="5.2083333333333409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D8F-44D8-B68E-5F31D81A5FDE}"/>
                </c:ext>
              </c:extLst>
            </c:dLbl>
            <c:dLbl>
              <c:idx val="3"/>
              <c:layout>
                <c:manualLayout>
                  <c:x val="7.276255154013987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D8F-44D8-B68E-5F31D81A5FDE}"/>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Question3!$AI$4:$AI$9</c:f>
              <c:numCache>
                <c:formatCode>0.0%</c:formatCode>
                <c:ptCount val="6"/>
                <c:pt idx="0">
                  <c:v>0.14280000000000001</c:v>
                </c:pt>
                <c:pt idx="1">
                  <c:v>0.14610000000000001</c:v>
                </c:pt>
                <c:pt idx="2">
                  <c:v>0.22076999999999999</c:v>
                </c:pt>
                <c:pt idx="3">
                  <c:v>0.18510000000000001</c:v>
                </c:pt>
                <c:pt idx="4">
                  <c:v>0.15259000000000011</c:v>
                </c:pt>
                <c:pt idx="5">
                  <c:v>0.15259000000000011</c:v>
                </c:pt>
              </c:numCache>
            </c:numRef>
          </c:val>
          <c:extLst xmlns:c16r2="http://schemas.microsoft.com/office/drawing/2015/06/chart">
            <c:ext xmlns:c16="http://schemas.microsoft.com/office/drawing/2014/chart" uri="{C3380CC4-5D6E-409C-BE32-E72D297353CC}">
              <c16:uniqueId val="{00000003-BD8F-44D8-B68E-5F31D81A5FDE}"/>
            </c:ext>
          </c:extLst>
        </c:ser>
        <c:axId val="88624512"/>
        <c:axId val="88630400"/>
      </c:barChart>
      <c:catAx>
        <c:axId val="88624512"/>
        <c:scaling>
          <c:orientation val="minMax"/>
        </c:scaling>
        <c:axPos val="b"/>
        <c:numFmt formatCode="General" sourceLinked="0"/>
        <c:tickLblPos val="nextTo"/>
        <c:txPr>
          <a:bodyPr rot="0" vert="horz"/>
          <a:lstStyle/>
          <a:p>
            <a:pPr>
              <a:defRPr/>
            </a:pPr>
            <a:endParaRPr lang="en-US"/>
          </a:p>
        </c:txPr>
        <c:crossAx val="88630400"/>
        <c:crosses val="autoZero"/>
        <c:auto val="1"/>
        <c:lblAlgn val="ctr"/>
        <c:lblOffset val="100"/>
      </c:catAx>
      <c:valAx>
        <c:axId val="88630400"/>
        <c:scaling>
          <c:orientation val="minMax"/>
        </c:scaling>
        <c:axPos val="l"/>
        <c:majorGridlines/>
        <c:numFmt formatCode="0%" sourceLinked="0"/>
        <c:tickLblPos val="nextTo"/>
        <c:crossAx val="88624512"/>
        <c:crosses val="autoZero"/>
        <c:crossBetween val="between"/>
      </c:valAx>
      <c:spPr>
        <a:ln w="12700">
          <a:solidFill>
            <a:srgbClr val="0070C0"/>
          </a:solidFill>
        </a:ln>
      </c:spPr>
    </c:plotArea>
    <c:legend>
      <c:legendPos val="r"/>
      <c:layout>
        <c:manualLayout>
          <c:xMode val="edge"/>
          <c:yMode val="edge"/>
          <c:x val="0.84893206531001808"/>
          <c:y val="7.3376374576972089E-2"/>
          <c:w val="0.11507107066162194"/>
          <c:h val="0.23378705568780658"/>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IN"/>
  <c:chart>
    <c:plotArea>
      <c:layout>
        <c:manualLayout>
          <c:layoutTarget val="inner"/>
          <c:xMode val="edge"/>
          <c:yMode val="edge"/>
          <c:x val="9.2604111986001755E-2"/>
          <c:y val="5.0925925925925923E-2"/>
          <c:w val="0.89454177602799645"/>
          <c:h val="0.7568740886555857"/>
        </c:manualLayout>
      </c:layout>
      <c:barChart>
        <c:barDir val="col"/>
        <c:grouping val="clustered"/>
        <c:ser>
          <c:idx val="0"/>
          <c:order val="0"/>
          <c:tx>
            <c:strRef>
              <c:f>'Question 2'!$AF$3</c:f>
              <c:strCache>
                <c:ptCount val="1"/>
                <c:pt idx="0">
                  <c:v>Nov-19</c:v>
                </c:pt>
              </c:strCache>
            </c:strRef>
          </c:tx>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2'!$AF$4:$AF$8</c:f>
              <c:numCache>
                <c:formatCode>0.00%</c:formatCode>
                <c:ptCount val="5"/>
                <c:pt idx="0">
                  <c:v>0.40050000000000002</c:v>
                </c:pt>
                <c:pt idx="1">
                  <c:v>0.28160000000000002</c:v>
                </c:pt>
                <c:pt idx="2">
                  <c:v>0.19889999999999999</c:v>
                </c:pt>
                <c:pt idx="3">
                  <c:v>0.10850000000000005</c:v>
                </c:pt>
                <c:pt idx="4">
                  <c:v>1.0330000000000001E-2</c:v>
                </c:pt>
              </c:numCache>
            </c:numRef>
          </c:val>
          <c:extLst xmlns:c16r2="http://schemas.microsoft.com/office/drawing/2015/06/chart">
            <c:ext xmlns:c16="http://schemas.microsoft.com/office/drawing/2014/chart" uri="{C3380CC4-5D6E-409C-BE32-E72D297353CC}">
              <c16:uniqueId val="{00000000-035F-440A-A383-DA8830CDC46C}"/>
            </c:ext>
          </c:extLst>
        </c:ser>
        <c:ser>
          <c:idx val="1"/>
          <c:order val="1"/>
          <c:tx>
            <c:strRef>
              <c:f>'Question 2'!$AG$3</c:f>
              <c:strCache>
                <c:ptCount val="1"/>
                <c:pt idx="0">
                  <c:v>Dec-19</c:v>
                </c:pt>
              </c:strCache>
            </c:strRef>
          </c:tx>
          <c:dLbls>
            <c:dLbl>
              <c:idx val="1"/>
              <c:layout>
                <c:manualLayout>
                  <c:x val="0"/>
                  <c:y val="1.777777777777767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35F-440A-A383-DA8830CDC46C}"/>
                </c:ext>
              </c:extLst>
            </c:dLbl>
            <c:dLbl>
              <c:idx val="2"/>
              <c:layout>
                <c:manualLayout>
                  <c:x val="-8.9868242880141472E-17"/>
                  <c:y val="1.777777777777778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35F-440A-A383-DA8830CDC46C}"/>
                </c:ext>
              </c:extLst>
            </c:dLbl>
            <c:dLbl>
              <c:idx val="3"/>
              <c:layout>
                <c:manualLayout>
                  <c:x val="-8.9868242880141472E-17"/>
                  <c:y val="2.96296296296296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35F-440A-A383-DA8830CDC46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2'!$AG$4:$AG$8</c:f>
              <c:numCache>
                <c:formatCode>0.00%</c:formatCode>
                <c:ptCount val="5"/>
                <c:pt idx="0">
                  <c:v>0.47050000000000008</c:v>
                </c:pt>
                <c:pt idx="1">
                  <c:v>0.253</c:v>
                </c:pt>
                <c:pt idx="2">
                  <c:v>0.17330000000000001</c:v>
                </c:pt>
                <c:pt idx="3">
                  <c:v>8.9700000000000071E-2</c:v>
                </c:pt>
                <c:pt idx="4">
                  <c:v>1.2300000000000005E-2</c:v>
                </c:pt>
              </c:numCache>
            </c:numRef>
          </c:val>
          <c:extLst xmlns:c16r2="http://schemas.microsoft.com/office/drawing/2015/06/chart">
            <c:ext xmlns:c16="http://schemas.microsoft.com/office/drawing/2014/chart" uri="{C3380CC4-5D6E-409C-BE32-E72D297353CC}">
              <c16:uniqueId val="{00000001-035F-440A-A383-DA8830CDC46C}"/>
            </c:ext>
          </c:extLst>
        </c:ser>
        <c:ser>
          <c:idx val="2"/>
          <c:order val="2"/>
          <c:tx>
            <c:strRef>
              <c:f>'Question 2'!$AH$3</c:f>
              <c:strCache>
                <c:ptCount val="1"/>
                <c:pt idx="0">
                  <c:v>Jan-20</c:v>
                </c:pt>
              </c:strCache>
            </c:strRef>
          </c:tx>
          <c:spPr>
            <a:solidFill>
              <a:srgbClr val="00B050"/>
            </a:solidFill>
          </c:spPr>
          <c:dLbls>
            <c:dLbl>
              <c:idx val="0"/>
              <c:layout>
                <c:manualLayout>
                  <c:x val="0"/>
                  <c:y val="1.777777777777778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35F-440A-A383-DA8830CDC46C}"/>
                </c:ext>
              </c:extLst>
            </c:dLbl>
            <c:dLbl>
              <c:idx val="1"/>
              <c:layout>
                <c:manualLayout>
                  <c:x val="1.2254901960784314E-2"/>
                  <c:y val="3.55555555555555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35F-440A-A383-DA8830CDC46C}"/>
                </c:ext>
              </c:extLst>
            </c:dLbl>
            <c:dLbl>
              <c:idx val="2"/>
              <c:layout>
                <c:manualLayout>
                  <c:x val="1.4705882352941176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35F-440A-A383-DA8830CDC46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2'!$AH$4:$AH$8</c:f>
              <c:numCache>
                <c:formatCode>0.0%</c:formatCode>
                <c:ptCount val="5"/>
                <c:pt idx="0">
                  <c:v>0.44500000000000001</c:v>
                </c:pt>
                <c:pt idx="1">
                  <c:v>0.2545</c:v>
                </c:pt>
                <c:pt idx="2">
                  <c:v>0.18090000000000012</c:v>
                </c:pt>
                <c:pt idx="3">
                  <c:v>0.10760000000000006</c:v>
                </c:pt>
                <c:pt idx="4">
                  <c:v>2.1999999999999999E-2</c:v>
                </c:pt>
              </c:numCache>
            </c:numRef>
          </c:val>
          <c:extLst xmlns:c16r2="http://schemas.microsoft.com/office/drawing/2015/06/chart">
            <c:ext xmlns:c16="http://schemas.microsoft.com/office/drawing/2014/chart" uri="{C3380CC4-5D6E-409C-BE32-E72D297353CC}">
              <c16:uniqueId val="{00000002-035F-440A-A383-DA8830CDC46C}"/>
            </c:ext>
          </c:extLst>
        </c:ser>
        <c:ser>
          <c:idx val="3"/>
          <c:order val="3"/>
          <c:tx>
            <c:strRef>
              <c:f>'Question 2'!$AI$3</c:f>
              <c:strCache>
                <c:ptCount val="1"/>
                <c:pt idx="0">
                  <c:v>Feb-20</c:v>
                </c:pt>
              </c:strCache>
            </c:strRef>
          </c:tx>
          <c:spPr>
            <a:solidFill>
              <a:srgbClr val="C00000"/>
            </a:solidFill>
          </c:spPr>
          <c:dLbls>
            <c:dLbl>
              <c:idx val="1"/>
              <c:layout>
                <c:manualLayout>
                  <c:x val="1.960784313725486E-2"/>
                  <c:y val="2.37037037037036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35F-440A-A383-DA8830CDC46C}"/>
                </c:ext>
              </c:extLst>
            </c:dLbl>
            <c:dLbl>
              <c:idx val="2"/>
              <c:layout>
                <c:manualLayout>
                  <c:x val="9.8039215686274508E-3"/>
                  <c:y val="-1.0864072028177104E-1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35F-440A-A383-DA8830CDC46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2'!$AI$4:$AI$8</c:f>
              <c:numCache>
                <c:formatCode>0.0%</c:formatCode>
                <c:ptCount val="5"/>
                <c:pt idx="0">
                  <c:v>0.63630000000000042</c:v>
                </c:pt>
                <c:pt idx="1">
                  <c:v>0.21420000000000011</c:v>
                </c:pt>
                <c:pt idx="2">
                  <c:v>0.10059999999999998</c:v>
                </c:pt>
                <c:pt idx="3">
                  <c:v>4.5400000000000003E-2</c:v>
                </c:pt>
                <c:pt idx="4">
                  <c:v>3.2000000000000019E-3</c:v>
                </c:pt>
              </c:numCache>
            </c:numRef>
          </c:val>
          <c:extLst xmlns:c16r2="http://schemas.microsoft.com/office/drawing/2015/06/chart">
            <c:ext xmlns:c16="http://schemas.microsoft.com/office/drawing/2014/chart" uri="{C3380CC4-5D6E-409C-BE32-E72D297353CC}">
              <c16:uniqueId val="{00000003-035F-440A-A383-DA8830CDC46C}"/>
            </c:ext>
          </c:extLst>
        </c:ser>
        <c:axId val="88679552"/>
        <c:axId val="88681088"/>
      </c:barChart>
      <c:catAx>
        <c:axId val="88679552"/>
        <c:scaling>
          <c:orientation val="minMax"/>
        </c:scaling>
        <c:axPos val="b"/>
        <c:numFmt formatCode="General" sourceLinked="0"/>
        <c:tickLblPos val="nextTo"/>
        <c:crossAx val="88681088"/>
        <c:crosses val="autoZero"/>
        <c:auto val="1"/>
        <c:lblAlgn val="ctr"/>
        <c:lblOffset val="100"/>
      </c:catAx>
      <c:valAx>
        <c:axId val="88681088"/>
        <c:scaling>
          <c:orientation val="minMax"/>
        </c:scaling>
        <c:axPos val="l"/>
        <c:majorGridlines/>
        <c:numFmt formatCode="0%" sourceLinked="0"/>
        <c:tickLblPos val="nextTo"/>
        <c:crossAx val="88679552"/>
        <c:crosses val="autoZero"/>
        <c:crossBetween val="between"/>
      </c:valAx>
      <c:spPr>
        <a:ln w="12700">
          <a:solidFill>
            <a:srgbClr val="0070C0"/>
          </a:solidFill>
        </a:ln>
      </c:spPr>
    </c:plotArea>
    <c:legend>
      <c:legendPos val="r"/>
      <c:layout>
        <c:manualLayout>
          <c:xMode val="edge"/>
          <c:yMode val="edge"/>
          <c:x val="0.79270144356955463"/>
          <c:y val="0.13442512394284051"/>
          <c:w val="0.1311274991260343"/>
          <c:h val="0.31415135608048994"/>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9.2604111986001755E-2"/>
          <c:y val="5.0925925925925923E-2"/>
          <c:w val="0.88620844269466303"/>
          <c:h val="0.7568740886555857"/>
        </c:manualLayout>
      </c:layout>
      <c:barChart>
        <c:barDir val="col"/>
        <c:grouping val="clustered"/>
        <c:ser>
          <c:idx val="3"/>
          <c:order val="0"/>
          <c:tx>
            <c:strRef>
              <c:f>Question1!$AF$3</c:f>
              <c:strCache>
                <c:ptCount val="1"/>
                <c:pt idx="0">
                  <c:v>Nov-19</c:v>
                </c:pt>
              </c:strCache>
            </c:strRef>
          </c:tx>
          <c:dLbls>
            <c:dLbl>
              <c:idx val="2"/>
              <c:layout>
                <c:manualLayout>
                  <c:x val="-7.0439070204273337E-3"/>
                  <c:y val="1.702127659574457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446-4DCC-94AD-860B1E0182EB}"/>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Question1!$AF$4:$AF$8</c:f>
              <c:numCache>
                <c:formatCode>0.0%</c:formatCode>
                <c:ptCount val="5"/>
                <c:pt idx="0">
                  <c:v>0.47820000000000001</c:v>
                </c:pt>
                <c:pt idx="1">
                  <c:v>0.27360000000000001</c:v>
                </c:pt>
                <c:pt idx="2">
                  <c:v>0.17130000000000001</c:v>
                </c:pt>
                <c:pt idx="3">
                  <c:v>5.8800000000000012E-2</c:v>
                </c:pt>
                <c:pt idx="4">
                  <c:v>1.7899999999999999E-2</c:v>
                </c:pt>
              </c:numCache>
            </c:numRef>
          </c:val>
          <c:extLst xmlns:c16r2="http://schemas.microsoft.com/office/drawing/2015/06/chart">
            <c:ext xmlns:c16="http://schemas.microsoft.com/office/drawing/2014/chart" uri="{C3380CC4-5D6E-409C-BE32-E72D297353CC}">
              <c16:uniqueId val="{00000000-7446-4DCC-94AD-860B1E0182EB}"/>
            </c:ext>
          </c:extLst>
        </c:ser>
        <c:ser>
          <c:idx val="4"/>
          <c:order val="1"/>
          <c:tx>
            <c:strRef>
              <c:f>Question1!$AG$3</c:f>
              <c:strCache>
                <c:ptCount val="1"/>
                <c:pt idx="0">
                  <c:v>Dec-19</c:v>
                </c:pt>
              </c:strCache>
            </c:strRef>
          </c:tx>
          <c:dLbls>
            <c:dLbl>
              <c:idx val="1"/>
              <c:layout>
                <c:manualLayout>
                  <c:x val="-4.3045601191708974E-17"/>
                  <c:y val="3.97163120567375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446-4DCC-94AD-860B1E0182EB}"/>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Question1!$AG$4:$AG$8</c:f>
              <c:numCache>
                <c:formatCode>0.00%</c:formatCode>
                <c:ptCount val="5"/>
                <c:pt idx="0">
                  <c:v>0.503</c:v>
                </c:pt>
                <c:pt idx="1">
                  <c:v>0.25340000000000001</c:v>
                </c:pt>
                <c:pt idx="2">
                  <c:v>0.17980000000000004</c:v>
                </c:pt>
                <c:pt idx="3">
                  <c:v>5.4800000000000036E-2</c:v>
                </c:pt>
                <c:pt idx="4">
                  <c:v>9.1000000000000004E-3</c:v>
                </c:pt>
              </c:numCache>
            </c:numRef>
          </c:val>
          <c:extLst xmlns:c16r2="http://schemas.microsoft.com/office/drawing/2015/06/chart">
            <c:ext xmlns:c16="http://schemas.microsoft.com/office/drawing/2014/chart" uri="{C3380CC4-5D6E-409C-BE32-E72D297353CC}">
              <c16:uniqueId val="{00000001-7446-4DCC-94AD-860B1E0182EB}"/>
            </c:ext>
          </c:extLst>
        </c:ser>
        <c:ser>
          <c:idx val="0"/>
          <c:order val="2"/>
          <c:tx>
            <c:strRef>
              <c:f>Question1!$AH$3</c:f>
              <c:strCache>
                <c:ptCount val="1"/>
                <c:pt idx="0">
                  <c:v>Jan-20</c:v>
                </c:pt>
              </c:strCache>
            </c:strRef>
          </c:tx>
          <c:spPr>
            <a:solidFill>
              <a:schemeClr val="accent6"/>
            </a:solidFill>
          </c:spPr>
          <c:dLbls>
            <c:dLbl>
              <c:idx val="2"/>
              <c:layout>
                <c:manualLayout>
                  <c:x val="1.173984503404546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446-4DCC-94AD-860B1E0182EB}"/>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Question1!$AH$4:$AH$8</c:f>
              <c:numCache>
                <c:formatCode>0.0%</c:formatCode>
                <c:ptCount val="5"/>
                <c:pt idx="0">
                  <c:v>0.45479999999999998</c:v>
                </c:pt>
                <c:pt idx="1">
                  <c:v>0.2762</c:v>
                </c:pt>
                <c:pt idx="2">
                  <c:v>0.17380000000000001</c:v>
                </c:pt>
                <c:pt idx="3">
                  <c:v>7.1400000000000019E-2</c:v>
                </c:pt>
                <c:pt idx="4">
                  <c:v>2.3800000000000002E-2</c:v>
                </c:pt>
              </c:numCache>
            </c:numRef>
          </c:val>
          <c:extLst xmlns:c16r2="http://schemas.microsoft.com/office/drawing/2015/06/chart">
            <c:ext xmlns:c16="http://schemas.microsoft.com/office/drawing/2014/chart" uri="{C3380CC4-5D6E-409C-BE32-E72D297353CC}">
              <c16:uniqueId val="{00000002-7446-4DCC-94AD-860B1E0182EB}"/>
            </c:ext>
          </c:extLst>
        </c:ser>
        <c:ser>
          <c:idx val="1"/>
          <c:order val="3"/>
          <c:tx>
            <c:strRef>
              <c:f>Question1!$AI$3</c:f>
              <c:strCache>
                <c:ptCount val="1"/>
                <c:pt idx="0">
                  <c:v>Feb-20</c:v>
                </c:pt>
              </c:strCache>
            </c:strRef>
          </c:tx>
          <c:spPr>
            <a:solidFill>
              <a:srgbClr val="C00000"/>
            </a:solidFill>
          </c:spPr>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Question1!$AI$4:$AI$8</c:f>
              <c:numCache>
                <c:formatCode>0.0%</c:formatCode>
                <c:ptCount val="5"/>
                <c:pt idx="0">
                  <c:v>0.65250000000000041</c:v>
                </c:pt>
                <c:pt idx="1">
                  <c:v>0.21750000000000011</c:v>
                </c:pt>
                <c:pt idx="2">
                  <c:v>0.1038</c:v>
                </c:pt>
                <c:pt idx="3">
                  <c:v>2.5900000000000006E-2</c:v>
                </c:pt>
                <c:pt idx="4">
                  <c:v>0</c:v>
                </c:pt>
              </c:numCache>
            </c:numRef>
          </c:val>
          <c:extLst xmlns:c16r2="http://schemas.microsoft.com/office/drawing/2015/06/chart">
            <c:ext xmlns:c16="http://schemas.microsoft.com/office/drawing/2014/chart" uri="{C3380CC4-5D6E-409C-BE32-E72D297353CC}">
              <c16:uniqueId val="{00000003-7446-4DCC-94AD-860B1E0182EB}"/>
            </c:ext>
          </c:extLst>
        </c:ser>
        <c:axId val="89272704"/>
        <c:axId val="89274240"/>
      </c:barChart>
      <c:catAx>
        <c:axId val="89272704"/>
        <c:scaling>
          <c:orientation val="minMax"/>
        </c:scaling>
        <c:axPos val="b"/>
        <c:numFmt formatCode="General" sourceLinked="0"/>
        <c:tickLblPos val="nextTo"/>
        <c:crossAx val="89274240"/>
        <c:crosses val="autoZero"/>
        <c:auto val="1"/>
        <c:lblAlgn val="ctr"/>
        <c:lblOffset val="100"/>
      </c:catAx>
      <c:valAx>
        <c:axId val="89274240"/>
        <c:scaling>
          <c:orientation val="minMax"/>
        </c:scaling>
        <c:axPos val="l"/>
        <c:majorGridlines/>
        <c:numFmt formatCode="0%" sourceLinked="0"/>
        <c:tickLblPos val="nextTo"/>
        <c:crossAx val="89272704"/>
        <c:crosses val="autoZero"/>
        <c:crossBetween val="between"/>
      </c:valAx>
      <c:spPr>
        <a:ln w="12700">
          <a:solidFill>
            <a:schemeClr val="accent1"/>
          </a:solidFill>
        </a:ln>
      </c:spPr>
    </c:plotArea>
    <c:legend>
      <c:legendPos val="r"/>
      <c:layout>
        <c:manualLayout>
          <c:xMode val="edge"/>
          <c:yMode val="edge"/>
          <c:x val="0.71214588801399892"/>
          <c:y val="8.349919801691455E-2"/>
          <c:w val="0.1062280112159656"/>
          <c:h val="0.28718447048426304"/>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F14C-E1EC-4ECE-8960-00E65889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4</cp:revision>
  <cp:lastPrinted>2020-04-03T12:53:00Z</cp:lastPrinted>
  <dcterms:created xsi:type="dcterms:W3CDTF">2020-04-04T08:57:00Z</dcterms:created>
  <dcterms:modified xsi:type="dcterms:W3CDTF">2020-04-04T09:03:00Z</dcterms:modified>
</cp:coreProperties>
</file>